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A4" w:rsidRDefault="004853C9" w:rsidP="001134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</w:t>
      </w:r>
      <w:r w:rsidR="00435FA4" w:rsidRPr="003D147F">
        <w:rPr>
          <w:rFonts w:ascii="Times New Roman" w:hAnsi="Times New Roman"/>
          <w:b/>
          <w:sz w:val="28"/>
          <w:szCs w:val="28"/>
        </w:rPr>
        <w:t xml:space="preserve">ercepção visual entre acadêmicos </w:t>
      </w:r>
      <w:r w:rsidR="00011B28">
        <w:rPr>
          <w:rFonts w:ascii="Times New Roman" w:hAnsi="Times New Roman"/>
          <w:b/>
          <w:sz w:val="28"/>
          <w:szCs w:val="28"/>
        </w:rPr>
        <w:t xml:space="preserve">do </w:t>
      </w:r>
      <w:r w:rsidR="00011B28" w:rsidRPr="003D147F">
        <w:rPr>
          <w:rFonts w:ascii="Times New Roman" w:hAnsi="Times New Roman"/>
          <w:b/>
          <w:sz w:val="28"/>
          <w:szCs w:val="28"/>
        </w:rPr>
        <w:t xml:space="preserve">Curso de Odontologia </w:t>
      </w:r>
      <w:r w:rsidR="00011B28">
        <w:rPr>
          <w:rFonts w:ascii="Times New Roman" w:hAnsi="Times New Roman"/>
          <w:b/>
          <w:sz w:val="28"/>
          <w:szCs w:val="28"/>
        </w:rPr>
        <w:t xml:space="preserve">no componente curricular Escultura Dental </w:t>
      </w:r>
    </w:p>
    <w:p w:rsidR="0061236F" w:rsidRPr="003D147F" w:rsidRDefault="0061236F" w:rsidP="001134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47F" w:rsidRPr="003D147F" w:rsidRDefault="003D147F" w:rsidP="0011348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3D147F">
        <w:rPr>
          <w:rFonts w:ascii="Times New Roman" w:eastAsia="Times New Roman" w:hAnsi="Times New Roman"/>
          <w:sz w:val="24"/>
          <w:szCs w:val="24"/>
          <w:lang w:eastAsia="pt-BR"/>
        </w:rPr>
        <w:t>Maria Eduarda Wanderley Lira</w:t>
      </w:r>
      <w:r w:rsidRPr="003D147F">
        <w:rPr>
          <w:rFonts w:ascii="Times New Roman" w:hAnsi="Times New Roman"/>
          <w:sz w:val="24"/>
          <w:szCs w:val="24"/>
        </w:rPr>
        <w:t xml:space="preserve"> </w:t>
      </w:r>
      <w:r w:rsidRPr="003D147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(1)</w:t>
      </w:r>
    </w:p>
    <w:p w:rsidR="003D147F" w:rsidRPr="003D147F" w:rsidRDefault="003D147F" w:rsidP="001134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D147F">
        <w:rPr>
          <w:rFonts w:ascii="Times New Roman" w:eastAsia="Times New Roman" w:hAnsi="Times New Roman"/>
          <w:sz w:val="24"/>
          <w:szCs w:val="24"/>
          <w:lang w:eastAsia="pt-BR"/>
        </w:rPr>
        <w:t>Evellyn</w:t>
      </w:r>
      <w:proofErr w:type="spellEnd"/>
      <w:r w:rsidRPr="003D147F">
        <w:rPr>
          <w:rFonts w:ascii="Times New Roman" w:eastAsia="Times New Roman" w:hAnsi="Times New Roman"/>
          <w:sz w:val="24"/>
          <w:szCs w:val="24"/>
          <w:lang w:eastAsia="pt-BR"/>
        </w:rPr>
        <w:t xml:space="preserve"> Araújo Nóbrega </w:t>
      </w:r>
      <w:proofErr w:type="gramStart"/>
      <w:r w:rsidRPr="003D147F">
        <w:rPr>
          <w:rFonts w:ascii="Times New Roman" w:eastAsia="Times New Roman" w:hAnsi="Times New Roman"/>
          <w:sz w:val="24"/>
          <w:szCs w:val="24"/>
          <w:lang w:eastAsia="pt-BR"/>
        </w:rPr>
        <w:t>Cabral</w:t>
      </w:r>
      <w:r w:rsidRPr="003D147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(</w:t>
      </w:r>
      <w:proofErr w:type="gramEnd"/>
      <w:r w:rsidRPr="003D147F"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  <w:t>1)</w:t>
      </w:r>
    </w:p>
    <w:p w:rsidR="00155CB7" w:rsidRPr="003D147F" w:rsidRDefault="00155CB7" w:rsidP="00155CB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D147F">
        <w:rPr>
          <w:rFonts w:ascii="Times New Roman" w:hAnsi="Times New Roman"/>
          <w:sz w:val="24"/>
          <w:szCs w:val="24"/>
        </w:rPr>
        <w:t xml:space="preserve">Isabela Albuquerque Passos </w:t>
      </w:r>
      <w:proofErr w:type="gramStart"/>
      <w:r w:rsidRPr="003D147F">
        <w:rPr>
          <w:rFonts w:ascii="Times New Roman" w:hAnsi="Times New Roman"/>
          <w:sz w:val="24"/>
          <w:szCs w:val="24"/>
        </w:rPr>
        <w:t>Farias</w:t>
      </w:r>
      <w:r w:rsidRPr="003D147F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3D147F">
        <w:rPr>
          <w:rFonts w:ascii="Times New Roman" w:hAnsi="Times New Roman"/>
          <w:sz w:val="24"/>
          <w:szCs w:val="24"/>
          <w:vertAlign w:val="superscript"/>
        </w:rPr>
        <w:t>2)</w:t>
      </w:r>
    </w:p>
    <w:p w:rsidR="003D147F" w:rsidRPr="003D147F" w:rsidRDefault="003D147F" w:rsidP="0011348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D147F">
        <w:rPr>
          <w:rFonts w:ascii="Times New Roman" w:hAnsi="Times New Roman"/>
          <w:sz w:val="24"/>
          <w:szCs w:val="24"/>
        </w:rPr>
        <w:t>Dayane</w:t>
      </w:r>
      <w:proofErr w:type="spellEnd"/>
      <w:r w:rsidRPr="003D147F">
        <w:rPr>
          <w:rFonts w:ascii="Times New Roman" w:hAnsi="Times New Roman"/>
          <w:sz w:val="24"/>
          <w:szCs w:val="24"/>
        </w:rPr>
        <w:t xml:space="preserve"> Franco Barros Mangueira </w:t>
      </w:r>
      <w:proofErr w:type="gramStart"/>
      <w:r w:rsidRPr="003D147F">
        <w:rPr>
          <w:rFonts w:ascii="Times New Roman" w:hAnsi="Times New Roman"/>
          <w:sz w:val="24"/>
          <w:szCs w:val="24"/>
        </w:rPr>
        <w:t>Leite</w:t>
      </w:r>
      <w:r w:rsidRPr="003D147F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3D147F">
        <w:rPr>
          <w:rFonts w:ascii="Times New Roman" w:hAnsi="Times New Roman"/>
          <w:sz w:val="24"/>
          <w:szCs w:val="24"/>
          <w:vertAlign w:val="superscript"/>
        </w:rPr>
        <w:t>2)</w:t>
      </w:r>
    </w:p>
    <w:p w:rsidR="003D147F" w:rsidRDefault="003D147F" w:rsidP="004853C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D147F">
        <w:rPr>
          <w:rFonts w:ascii="Times New Roman" w:hAnsi="Times New Roman"/>
          <w:sz w:val="24"/>
          <w:szCs w:val="24"/>
        </w:rPr>
        <w:t xml:space="preserve">Antônio de Pádua Cavalcante da </w:t>
      </w:r>
      <w:proofErr w:type="gramStart"/>
      <w:r w:rsidRPr="003D147F">
        <w:rPr>
          <w:rFonts w:ascii="Times New Roman" w:hAnsi="Times New Roman"/>
          <w:sz w:val="24"/>
          <w:szCs w:val="24"/>
        </w:rPr>
        <w:t>Costa</w:t>
      </w:r>
      <w:r w:rsidRPr="003D147F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3D147F">
        <w:rPr>
          <w:rFonts w:ascii="Times New Roman" w:hAnsi="Times New Roman"/>
          <w:sz w:val="24"/>
          <w:szCs w:val="24"/>
          <w:vertAlign w:val="superscript"/>
        </w:rPr>
        <w:t>3)</w:t>
      </w:r>
    </w:p>
    <w:p w:rsidR="003D147F" w:rsidRPr="004C00B4" w:rsidRDefault="003D147F" w:rsidP="004853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C00B4">
        <w:rPr>
          <w:rFonts w:ascii="Times New Roman" w:hAnsi="Times New Roman"/>
          <w:sz w:val="24"/>
          <w:szCs w:val="24"/>
        </w:rPr>
        <w:t>(1) Bolsista</w:t>
      </w:r>
    </w:p>
    <w:p w:rsidR="004853C9" w:rsidRDefault="003D147F" w:rsidP="004853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C00B4">
        <w:rPr>
          <w:rFonts w:ascii="Times New Roman" w:hAnsi="Times New Roman"/>
          <w:sz w:val="24"/>
          <w:szCs w:val="24"/>
        </w:rPr>
        <w:t xml:space="preserve">(2) </w:t>
      </w:r>
      <w:r w:rsidRPr="004C00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Professor colaborador</w:t>
      </w:r>
    </w:p>
    <w:p w:rsidR="003D147F" w:rsidRPr="004C00B4" w:rsidRDefault="003D147F" w:rsidP="004853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C00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(3) Coordenador/orientador</w:t>
      </w:r>
    </w:p>
    <w:p w:rsidR="003D147F" w:rsidRPr="003D147F" w:rsidRDefault="003D147F" w:rsidP="004853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C00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Centro de Ciências da Saúde/ Departamento de Odontologia Restauradora/ </w:t>
      </w:r>
      <w:r w:rsidR="00AA1F36" w:rsidRPr="004C00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Programa de Monitoria</w:t>
      </w:r>
    </w:p>
    <w:p w:rsidR="003D147F" w:rsidRPr="003D147F" w:rsidRDefault="003D147F" w:rsidP="004853C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C78F2" w:rsidRDefault="00FC78F2" w:rsidP="0011348A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Introdução</w:t>
      </w:r>
    </w:p>
    <w:p w:rsidR="00FC78F2" w:rsidRPr="00CB3EA3" w:rsidRDefault="00FC78F2" w:rsidP="0011348A">
      <w:pPr>
        <w:pStyle w:val="Recuodecorpodetexto"/>
        <w:spacing w:line="360" w:lineRule="auto"/>
        <w:ind w:firstLine="708"/>
        <w:rPr>
          <w:rFonts w:ascii="Times New Roman" w:hAnsi="Times New Roman"/>
          <w:szCs w:val="24"/>
        </w:rPr>
      </w:pPr>
      <w:r w:rsidRPr="00CB3EA3">
        <w:rPr>
          <w:rFonts w:ascii="Times New Roman" w:hAnsi="Times New Roman"/>
          <w:szCs w:val="24"/>
        </w:rPr>
        <w:t>A percepção visual é uma característica inerente ao bom cirurgião-dentista. Essa percepção pode ser aprimorada pelo treinamento contínuo e pela observação cuidadosa da escultura dental que está sendo executada.</w:t>
      </w:r>
      <w:r>
        <w:rPr>
          <w:rFonts w:ascii="Times New Roman" w:hAnsi="Times New Roman"/>
          <w:szCs w:val="24"/>
        </w:rPr>
        <w:t xml:space="preserve"> </w:t>
      </w:r>
      <w:r w:rsidRPr="00CB3EA3">
        <w:rPr>
          <w:rFonts w:ascii="Times New Roman" w:hAnsi="Times New Roman"/>
          <w:szCs w:val="24"/>
        </w:rPr>
        <w:t>Muitas falhas que ocorrem na escultura dental são decorrentes de erro na percepção visual ao relacionar a largura e a altura aparente da coroa den</w:t>
      </w:r>
      <w:r w:rsidR="00E3716E">
        <w:rPr>
          <w:rFonts w:ascii="Times New Roman" w:hAnsi="Times New Roman"/>
          <w:szCs w:val="24"/>
        </w:rPr>
        <w:t xml:space="preserve">tro da morfologia da escultura </w:t>
      </w:r>
      <w:r w:rsidRPr="00CB3EA3">
        <w:rPr>
          <w:rFonts w:ascii="Times New Roman" w:hAnsi="Times New Roman"/>
          <w:szCs w:val="24"/>
        </w:rPr>
        <w:t>(MANDARINO, 2003</w:t>
      </w:r>
      <w:r w:rsidR="007E686B">
        <w:rPr>
          <w:rFonts w:ascii="Times New Roman" w:hAnsi="Times New Roman"/>
          <w:szCs w:val="24"/>
        </w:rPr>
        <w:t>; COSTA, FARIAS, LEITE, 2013</w:t>
      </w:r>
      <w:r w:rsidRPr="00CB3EA3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FC78F2" w:rsidRPr="00CB3EA3" w:rsidRDefault="00435FA4" w:rsidP="0011348A">
      <w:pPr>
        <w:pStyle w:val="Recuodecorpodetexto"/>
        <w:spacing w:line="360" w:lineRule="auto"/>
        <w:ind w:firstLine="70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O objetivo </w:t>
      </w:r>
      <w:r w:rsidR="004853C9">
        <w:rPr>
          <w:rFonts w:ascii="Times New Roman" w:hAnsi="Times New Roman"/>
          <w:szCs w:val="24"/>
        </w:rPr>
        <w:t>do p</w:t>
      </w:r>
      <w:r>
        <w:rPr>
          <w:rFonts w:ascii="Times New Roman" w:hAnsi="Times New Roman"/>
          <w:szCs w:val="24"/>
        </w:rPr>
        <w:t xml:space="preserve">lano de ação </w:t>
      </w:r>
      <w:r w:rsidR="004853C9">
        <w:rPr>
          <w:rFonts w:ascii="Times New Roman" w:hAnsi="Times New Roman"/>
          <w:szCs w:val="24"/>
        </w:rPr>
        <w:t xml:space="preserve">da monitoria de Escultura Dental do período 2012.2 a 2013.1 </w:t>
      </w:r>
      <w:r>
        <w:rPr>
          <w:rFonts w:ascii="Times New Roman" w:hAnsi="Times New Roman"/>
          <w:szCs w:val="24"/>
        </w:rPr>
        <w:t>foi estimular percepção visual dos acadêmicos do Curso de Odontologia nas atividades práticas da disciplina Escultura Dental</w:t>
      </w:r>
      <w:r w:rsidR="00FC78F2" w:rsidRPr="00CB3EA3">
        <w:rPr>
          <w:rFonts w:ascii="Times New Roman" w:hAnsi="Times New Roman"/>
          <w:bCs/>
          <w:szCs w:val="24"/>
        </w:rPr>
        <w:t>.</w:t>
      </w:r>
    </w:p>
    <w:p w:rsidR="00435FA4" w:rsidRDefault="00435FA4" w:rsidP="0011348A">
      <w:pPr>
        <w:pStyle w:val="Default"/>
        <w:spacing w:line="360" w:lineRule="auto"/>
        <w:rPr>
          <w:b/>
          <w:bCs/>
          <w:color w:val="auto"/>
        </w:rPr>
      </w:pPr>
    </w:p>
    <w:p w:rsidR="00FC78F2" w:rsidRPr="00111823" w:rsidRDefault="00FC78F2" w:rsidP="0011348A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Metodologia</w:t>
      </w:r>
    </w:p>
    <w:p w:rsidR="00590CAE" w:rsidRDefault="00435FA4" w:rsidP="0011348A">
      <w:pPr>
        <w:pStyle w:val="Default"/>
        <w:spacing w:line="360" w:lineRule="auto"/>
        <w:ind w:firstLine="709"/>
        <w:jc w:val="both"/>
        <w:rPr>
          <w:bCs/>
          <w:color w:val="auto"/>
        </w:rPr>
      </w:pPr>
      <w:r>
        <w:rPr>
          <w:bCs/>
          <w:color w:val="auto"/>
        </w:rPr>
        <w:t xml:space="preserve">O estímulo da percepção visual </w:t>
      </w:r>
      <w:r w:rsidR="00011B28">
        <w:rPr>
          <w:bCs/>
          <w:color w:val="auto"/>
        </w:rPr>
        <w:t>procedeu-se com avaliação de escultura dental pela técnica do dente articulado no manequim.</w:t>
      </w:r>
      <w:r>
        <w:rPr>
          <w:bCs/>
          <w:color w:val="auto"/>
        </w:rPr>
        <w:t xml:space="preserve"> Para </w:t>
      </w:r>
      <w:r w:rsidR="001F6DA3">
        <w:rPr>
          <w:bCs/>
          <w:color w:val="auto"/>
        </w:rPr>
        <w:t>registro</w:t>
      </w:r>
      <w:r w:rsidR="00011B28">
        <w:rPr>
          <w:bCs/>
          <w:color w:val="auto"/>
        </w:rPr>
        <w:t xml:space="preserve"> dos dados,</w:t>
      </w:r>
      <w:r>
        <w:rPr>
          <w:bCs/>
          <w:color w:val="auto"/>
        </w:rPr>
        <w:t xml:space="preserve"> </w:t>
      </w:r>
      <w:r w:rsidR="00FC78F2">
        <w:rPr>
          <w:bCs/>
          <w:color w:val="auto"/>
        </w:rPr>
        <w:t>três questionários</w:t>
      </w:r>
      <w:r w:rsidR="001F6DA3">
        <w:rPr>
          <w:bCs/>
          <w:color w:val="auto"/>
        </w:rPr>
        <w:t xml:space="preserve"> com </w:t>
      </w:r>
      <w:r w:rsidR="00FC78F2">
        <w:rPr>
          <w:bCs/>
          <w:color w:val="auto"/>
        </w:rPr>
        <w:t>intervalo de tempo de um mês</w:t>
      </w:r>
      <w:r w:rsidR="001F6DA3">
        <w:rPr>
          <w:bCs/>
          <w:color w:val="auto"/>
        </w:rPr>
        <w:t xml:space="preserve"> foram aplicados. </w:t>
      </w:r>
      <w:r w:rsidR="00590CAE">
        <w:rPr>
          <w:bCs/>
          <w:color w:val="auto"/>
        </w:rPr>
        <w:t>Cada aluno avali</w:t>
      </w:r>
      <w:r w:rsidR="0061236F">
        <w:rPr>
          <w:bCs/>
          <w:color w:val="auto"/>
        </w:rPr>
        <w:t>ou</w:t>
      </w:r>
      <w:r w:rsidR="00590CAE">
        <w:rPr>
          <w:bCs/>
          <w:color w:val="auto"/>
        </w:rPr>
        <w:t xml:space="preserve"> um elemento dentário que não fosse o seu</w:t>
      </w:r>
      <w:r w:rsidR="001F6DA3">
        <w:rPr>
          <w:bCs/>
          <w:color w:val="auto"/>
        </w:rPr>
        <w:t>, procedia</w:t>
      </w:r>
      <w:r w:rsidR="0082444C">
        <w:rPr>
          <w:bCs/>
          <w:color w:val="auto"/>
        </w:rPr>
        <w:t>-se</w:t>
      </w:r>
      <w:r w:rsidR="001F6DA3">
        <w:rPr>
          <w:bCs/>
          <w:color w:val="auto"/>
        </w:rPr>
        <w:t xml:space="preserve"> </w:t>
      </w:r>
      <w:r w:rsidR="0082444C">
        <w:rPr>
          <w:bCs/>
          <w:color w:val="auto"/>
        </w:rPr>
        <w:t>a</w:t>
      </w:r>
      <w:r w:rsidR="001F6DA3">
        <w:rPr>
          <w:bCs/>
          <w:color w:val="auto"/>
        </w:rPr>
        <w:t xml:space="preserve"> análise </w:t>
      </w:r>
      <w:r w:rsidR="0061236F">
        <w:rPr>
          <w:bCs/>
          <w:color w:val="auto"/>
        </w:rPr>
        <w:t xml:space="preserve">dos erros e acertos da escultura </w:t>
      </w:r>
      <w:r w:rsidR="001F6DA3">
        <w:rPr>
          <w:bCs/>
          <w:color w:val="auto"/>
        </w:rPr>
        <w:t xml:space="preserve">e depois foi realizada </w:t>
      </w:r>
      <w:r w:rsidR="00AB76A2">
        <w:rPr>
          <w:bCs/>
          <w:color w:val="auto"/>
        </w:rPr>
        <w:t>comparação</w:t>
      </w:r>
      <w:r w:rsidR="001F6DA3">
        <w:rPr>
          <w:bCs/>
          <w:color w:val="auto"/>
        </w:rPr>
        <w:t xml:space="preserve"> utilizando a correção </w:t>
      </w:r>
      <w:r w:rsidR="00590CAE">
        <w:rPr>
          <w:bCs/>
          <w:color w:val="auto"/>
        </w:rPr>
        <w:t>feita pelos professores</w:t>
      </w:r>
      <w:r w:rsidR="001F6DA3">
        <w:rPr>
          <w:bCs/>
          <w:color w:val="auto"/>
        </w:rPr>
        <w:t xml:space="preserve"> (padrão-ouro)</w:t>
      </w:r>
      <w:r w:rsidR="00590CAE">
        <w:rPr>
          <w:bCs/>
          <w:color w:val="auto"/>
        </w:rPr>
        <w:t xml:space="preserve">, para assim </w:t>
      </w:r>
      <w:r w:rsidR="00AB76A2">
        <w:rPr>
          <w:bCs/>
          <w:color w:val="auto"/>
        </w:rPr>
        <w:t>definir</w:t>
      </w:r>
      <w:r w:rsidR="00590CAE">
        <w:rPr>
          <w:bCs/>
          <w:color w:val="auto"/>
        </w:rPr>
        <w:t xml:space="preserve"> o grau da percepção visual dos </w:t>
      </w:r>
      <w:r w:rsidR="001F6DA3">
        <w:rPr>
          <w:bCs/>
          <w:color w:val="auto"/>
        </w:rPr>
        <w:t>alunos</w:t>
      </w:r>
      <w:r w:rsidR="00590CAE">
        <w:rPr>
          <w:bCs/>
          <w:color w:val="auto"/>
        </w:rPr>
        <w:t xml:space="preserve">. </w:t>
      </w:r>
    </w:p>
    <w:p w:rsidR="00FC78F2" w:rsidRDefault="00FC78F2" w:rsidP="0011348A">
      <w:pPr>
        <w:pStyle w:val="Default"/>
        <w:spacing w:line="360" w:lineRule="auto"/>
        <w:ind w:firstLine="709"/>
        <w:jc w:val="both"/>
        <w:rPr>
          <w:bCs/>
          <w:color w:val="0D0D0D" w:themeColor="text1" w:themeTint="F2"/>
        </w:rPr>
      </w:pPr>
      <w:r>
        <w:rPr>
          <w:bCs/>
          <w:color w:val="auto"/>
        </w:rPr>
        <w:lastRenderedPageBreak/>
        <w:t>Foram adotados escores de acordo com o número de erros de an</w:t>
      </w:r>
      <w:r w:rsidR="00AB76A2">
        <w:rPr>
          <w:bCs/>
          <w:color w:val="auto"/>
        </w:rPr>
        <w:t>á</w:t>
      </w:r>
      <w:r>
        <w:rPr>
          <w:bCs/>
          <w:color w:val="auto"/>
        </w:rPr>
        <w:t xml:space="preserve">lise de cada questionário, sendo eles: Excelente (1), Bom (2), Regular (3) e Insuficiente (4), </w:t>
      </w:r>
      <w:proofErr w:type="gramStart"/>
      <w:r>
        <w:rPr>
          <w:bCs/>
          <w:color w:val="auto"/>
        </w:rPr>
        <w:t>a quantidade de erros por escore variaram</w:t>
      </w:r>
      <w:proofErr w:type="gramEnd"/>
      <w:r>
        <w:rPr>
          <w:bCs/>
          <w:color w:val="auto"/>
        </w:rPr>
        <w:t xml:space="preserve"> de acordo com os dentes</w:t>
      </w:r>
      <w:r w:rsidR="001F6DA3">
        <w:rPr>
          <w:bCs/>
          <w:color w:val="0D0D0D" w:themeColor="text1" w:themeTint="F2"/>
        </w:rPr>
        <w:t>, conforme quadro abaixo 1.</w:t>
      </w:r>
    </w:p>
    <w:p w:rsidR="001F6DA3" w:rsidRPr="007630DE" w:rsidRDefault="001F6DA3" w:rsidP="0011348A">
      <w:pPr>
        <w:pStyle w:val="Default"/>
        <w:spacing w:line="360" w:lineRule="auto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Quadro </w:t>
      </w:r>
      <w:r w:rsidRPr="007630DE">
        <w:rPr>
          <w:bCs/>
          <w:color w:val="0D0D0D" w:themeColor="text1" w:themeTint="F2"/>
        </w:rPr>
        <w:t xml:space="preserve">1: Escores </w:t>
      </w:r>
      <w:r w:rsidR="0082444C">
        <w:rPr>
          <w:bCs/>
          <w:color w:val="0D0D0D" w:themeColor="text1" w:themeTint="F2"/>
        </w:rPr>
        <w:t xml:space="preserve">de erros na escultura dental </w:t>
      </w:r>
      <w:r w:rsidRPr="007630DE">
        <w:rPr>
          <w:bCs/>
          <w:color w:val="0D0D0D" w:themeColor="text1" w:themeTint="F2"/>
        </w:rPr>
        <w:t>utilizados na avaliação. João Pessoa, 2013.</w:t>
      </w:r>
    </w:p>
    <w:tbl>
      <w:tblPr>
        <w:tblStyle w:val="Tabelacomgrade"/>
        <w:tblW w:w="0" w:type="auto"/>
        <w:jc w:val="center"/>
        <w:tblBorders>
          <w:right w:val="none" w:sz="0" w:space="0" w:color="auto"/>
        </w:tblBorders>
        <w:tblLayout w:type="fixed"/>
        <w:tblLook w:val="04A0"/>
      </w:tblPr>
      <w:tblGrid>
        <w:gridCol w:w="709"/>
        <w:gridCol w:w="645"/>
        <w:gridCol w:w="14"/>
        <w:gridCol w:w="1427"/>
        <w:gridCol w:w="1441"/>
        <w:gridCol w:w="1441"/>
        <w:gridCol w:w="1349"/>
      </w:tblGrid>
      <w:tr w:rsidR="0082444C" w:rsidTr="0082444C">
        <w:trPr>
          <w:jc w:val="center"/>
        </w:trPr>
        <w:tc>
          <w:tcPr>
            <w:tcW w:w="7026" w:type="dxa"/>
            <w:gridSpan w:val="7"/>
            <w:tcBorders>
              <w:right w:val="single" w:sz="4" w:space="0" w:color="auto"/>
            </w:tcBorders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Escores dos períodos 2012.2 e 2013.1</w:t>
            </w:r>
          </w:p>
        </w:tc>
      </w:tr>
      <w:tr w:rsidR="0082444C" w:rsidTr="0082444C">
        <w:trPr>
          <w:jc w:val="center"/>
        </w:trPr>
        <w:tc>
          <w:tcPr>
            <w:tcW w:w="1368" w:type="dxa"/>
            <w:gridSpan w:val="3"/>
            <w:tcBorders>
              <w:bottom w:val="nil"/>
              <w:right w:val="single" w:sz="4" w:space="0" w:color="auto"/>
            </w:tcBorders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both"/>
              <w:rPr>
                <w:bCs/>
                <w:color w:val="auto"/>
              </w:rPr>
            </w:pPr>
          </w:p>
        </w:tc>
        <w:tc>
          <w:tcPr>
            <w:tcW w:w="5658" w:type="dxa"/>
            <w:gridSpan w:val="4"/>
            <w:tcBorders>
              <w:right w:val="single" w:sz="4" w:space="0" w:color="auto"/>
            </w:tcBorders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ind w:left="159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Excelente        Bom           Regular        Insuficiente</w:t>
            </w:r>
          </w:p>
        </w:tc>
      </w:tr>
      <w:tr w:rsidR="0082444C" w:rsidTr="0082444C">
        <w:trPr>
          <w:jc w:val="center"/>
        </w:trPr>
        <w:tc>
          <w:tcPr>
            <w:tcW w:w="1354" w:type="dxa"/>
            <w:gridSpan w:val="2"/>
            <w:tcBorders>
              <w:top w:val="nil"/>
            </w:tcBorders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Elementos dentários</w:t>
            </w:r>
          </w:p>
        </w:tc>
        <w:tc>
          <w:tcPr>
            <w:tcW w:w="1441" w:type="dxa"/>
            <w:gridSpan w:val="2"/>
          </w:tcPr>
          <w:p w:rsidR="0082444C" w:rsidRPr="002D0ED3" w:rsidRDefault="0082444C" w:rsidP="0011348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Nº Erros</w:t>
            </w:r>
          </w:p>
        </w:tc>
        <w:tc>
          <w:tcPr>
            <w:tcW w:w="1441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rFonts w:ascii="Arial" w:hAnsi="Arial" w:cs="Arial"/>
                <w:sz w:val="18"/>
                <w:szCs w:val="18"/>
              </w:rPr>
              <w:t>Nº Erros</w:t>
            </w:r>
          </w:p>
        </w:tc>
        <w:tc>
          <w:tcPr>
            <w:tcW w:w="1441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rFonts w:ascii="Arial" w:hAnsi="Arial" w:cs="Arial"/>
                <w:sz w:val="18"/>
                <w:szCs w:val="18"/>
              </w:rPr>
              <w:t>Nº Erros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rFonts w:ascii="Arial" w:hAnsi="Arial" w:cs="Arial"/>
                <w:sz w:val="18"/>
                <w:szCs w:val="18"/>
              </w:rPr>
              <w:t>Nº Erros</w:t>
            </w:r>
          </w:p>
        </w:tc>
      </w:tr>
      <w:tr w:rsidR="0082444C" w:rsidTr="0082444C">
        <w:trPr>
          <w:trHeight w:val="358"/>
          <w:jc w:val="center"/>
        </w:trPr>
        <w:tc>
          <w:tcPr>
            <w:tcW w:w="709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21</w:t>
            </w:r>
          </w:p>
        </w:tc>
        <w:tc>
          <w:tcPr>
            <w:tcW w:w="645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21</w:t>
            </w:r>
          </w:p>
        </w:tc>
        <w:tc>
          <w:tcPr>
            <w:tcW w:w="1441" w:type="dxa"/>
            <w:gridSpan w:val="2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Ate 3</w:t>
            </w:r>
          </w:p>
        </w:tc>
        <w:tc>
          <w:tcPr>
            <w:tcW w:w="1441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4-7</w:t>
            </w:r>
          </w:p>
        </w:tc>
        <w:tc>
          <w:tcPr>
            <w:tcW w:w="1441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8-10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82444C" w:rsidRDefault="0082444C" w:rsidP="0011348A">
            <w:pPr>
              <w:pStyle w:val="Default"/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 w:rsidRPr="00D4702F">
              <w:rPr>
                <w:rFonts w:ascii="Arial" w:hAnsi="Arial" w:cs="Arial"/>
              </w:rPr>
              <w:t>≥</w:t>
            </w:r>
            <w:r w:rsidRPr="00D4702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82444C" w:rsidTr="0082444C">
        <w:trPr>
          <w:trHeight w:val="320"/>
          <w:jc w:val="center"/>
        </w:trPr>
        <w:tc>
          <w:tcPr>
            <w:tcW w:w="709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23</w:t>
            </w:r>
          </w:p>
        </w:tc>
        <w:tc>
          <w:tcPr>
            <w:tcW w:w="645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23</w:t>
            </w:r>
          </w:p>
        </w:tc>
        <w:tc>
          <w:tcPr>
            <w:tcW w:w="1441" w:type="dxa"/>
            <w:gridSpan w:val="2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Até 5</w:t>
            </w:r>
          </w:p>
        </w:tc>
        <w:tc>
          <w:tcPr>
            <w:tcW w:w="1441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6-8</w:t>
            </w:r>
          </w:p>
        </w:tc>
        <w:tc>
          <w:tcPr>
            <w:tcW w:w="1441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9-11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82444C" w:rsidRPr="00D4702F" w:rsidRDefault="0082444C" w:rsidP="0011348A">
            <w:pPr>
              <w:pStyle w:val="Default"/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</w:rPr>
            </w:pPr>
            <w:r w:rsidRPr="00D4702F">
              <w:rPr>
                <w:rFonts w:ascii="Arial" w:hAnsi="Arial" w:cs="Arial"/>
              </w:rPr>
              <w:t>≥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82444C" w:rsidTr="0082444C">
        <w:trPr>
          <w:trHeight w:val="462"/>
          <w:jc w:val="center"/>
        </w:trPr>
        <w:tc>
          <w:tcPr>
            <w:tcW w:w="709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24</w:t>
            </w:r>
          </w:p>
        </w:tc>
        <w:tc>
          <w:tcPr>
            <w:tcW w:w="645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26</w:t>
            </w:r>
          </w:p>
        </w:tc>
        <w:tc>
          <w:tcPr>
            <w:tcW w:w="1441" w:type="dxa"/>
            <w:gridSpan w:val="2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Ate 5</w:t>
            </w:r>
          </w:p>
        </w:tc>
        <w:tc>
          <w:tcPr>
            <w:tcW w:w="1441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6-9</w:t>
            </w:r>
          </w:p>
        </w:tc>
        <w:tc>
          <w:tcPr>
            <w:tcW w:w="1441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10-12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82444C" w:rsidRPr="00D4702F" w:rsidRDefault="0082444C" w:rsidP="0011348A">
            <w:pPr>
              <w:pStyle w:val="Default"/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</w:rPr>
            </w:pPr>
            <w:r w:rsidRPr="00D4702F">
              <w:rPr>
                <w:rFonts w:ascii="Arial" w:hAnsi="Arial" w:cs="Arial"/>
              </w:rPr>
              <w:t>≥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82444C" w:rsidTr="0082444C">
        <w:trPr>
          <w:trHeight w:val="462"/>
          <w:jc w:val="center"/>
        </w:trPr>
        <w:tc>
          <w:tcPr>
            <w:tcW w:w="709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26</w:t>
            </w:r>
          </w:p>
        </w:tc>
        <w:tc>
          <w:tcPr>
            <w:tcW w:w="645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29</w:t>
            </w:r>
          </w:p>
        </w:tc>
        <w:tc>
          <w:tcPr>
            <w:tcW w:w="1441" w:type="dxa"/>
            <w:gridSpan w:val="2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Até 7</w:t>
            </w:r>
          </w:p>
        </w:tc>
        <w:tc>
          <w:tcPr>
            <w:tcW w:w="1441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8-11</w:t>
            </w:r>
          </w:p>
        </w:tc>
        <w:tc>
          <w:tcPr>
            <w:tcW w:w="1441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12-14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82444C" w:rsidRPr="00D4702F" w:rsidRDefault="0082444C" w:rsidP="0011348A">
            <w:pPr>
              <w:pStyle w:val="Default"/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</w:rPr>
            </w:pPr>
            <w:r w:rsidRPr="00D4702F">
              <w:rPr>
                <w:rFonts w:ascii="Arial" w:hAnsi="Arial" w:cs="Arial"/>
              </w:rPr>
              <w:t>≥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82444C" w:rsidTr="0082444C">
        <w:trPr>
          <w:trHeight w:val="551"/>
          <w:jc w:val="center"/>
        </w:trPr>
        <w:tc>
          <w:tcPr>
            <w:tcW w:w="709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36</w:t>
            </w:r>
          </w:p>
        </w:tc>
        <w:tc>
          <w:tcPr>
            <w:tcW w:w="645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</w:t>
            </w:r>
          </w:p>
        </w:tc>
        <w:tc>
          <w:tcPr>
            <w:tcW w:w="1441" w:type="dxa"/>
            <w:gridSpan w:val="2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Até 4</w:t>
            </w:r>
          </w:p>
        </w:tc>
        <w:tc>
          <w:tcPr>
            <w:tcW w:w="1441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5-8</w:t>
            </w:r>
          </w:p>
        </w:tc>
        <w:tc>
          <w:tcPr>
            <w:tcW w:w="1441" w:type="dxa"/>
          </w:tcPr>
          <w:p w:rsidR="0082444C" w:rsidRDefault="0082444C" w:rsidP="0011348A">
            <w:pPr>
              <w:pStyle w:val="Default"/>
              <w:pBdr>
                <w:right w:val="single" w:sz="4" w:space="4" w:color="auto"/>
              </w:pBdr>
              <w:spacing w:line="36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9-11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82444C" w:rsidRPr="00D4702F" w:rsidRDefault="0082444C" w:rsidP="0011348A">
            <w:pPr>
              <w:pStyle w:val="Default"/>
              <w:pBdr>
                <w:left w:val="single" w:sz="4" w:space="4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</w:rPr>
            </w:pPr>
            <w:r w:rsidRPr="00D4702F">
              <w:rPr>
                <w:rFonts w:ascii="Arial" w:hAnsi="Arial" w:cs="Arial"/>
              </w:rPr>
              <w:t>≥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:rsidR="0082444C" w:rsidRDefault="0082444C" w:rsidP="0011348A">
      <w:pPr>
        <w:pStyle w:val="Default"/>
        <w:spacing w:line="360" w:lineRule="auto"/>
        <w:rPr>
          <w:b/>
          <w:bCs/>
          <w:color w:val="auto"/>
        </w:rPr>
      </w:pPr>
    </w:p>
    <w:p w:rsidR="00FC78F2" w:rsidRDefault="00FC78F2" w:rsidP="0011348A">
      <w:pPr>
        <w:pStyle w:val="Default"/>
        <w:spacing w:line="360" w:lineRule="auto"/>
        <w:rPr>
          <w:b/>
          <w:bCs/>
          <w:color w:val="auto"/>
        </w:rPr>
      </w:pPr>
      <w:r w:rsidRPr="00111823">
        <w:rPr>
          <w:b/>
          <w:bCs/>
          <w:color w:val="auto"/>
        </w:rPr>
        <w:t>Resultados</w:t>
      </w:r>
      <w:r w:rsidR="00604CDF">
        <w:rPr>
          <w:b/>
          <w:bCs/>
          <w:color w:val="auto"/>
        </w:rPr>
        <w:t xml:space="preserve"> e discussão</w:t>
      </w:r>
    </w:p>
    <w:p w:rsidR="00FC78F2" w:rsidRPr="002B36A7" w:rsidRDefault="001F6DA3" w:rsidP="001134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aná</w:t>
      </w:r>
      <w:r w:rsidR="00FC78F2" w:rsidRPr="002B36A7">
        <w:rPr>
          <w:rFonts w:ascii="Times New Roman" w:hAnsi="Times New Roman" w:cs="Times New Roman"/>
          <w:bCs/>
          <w:sz w:val="24"/>
          <w:szCs w:val="24"/>
        </w:rPr>
        <w:t xml:space="preserve">lise dos dados foi observado que a </w:t>
      </w:r>
      <w:r w:rsidR="00FC78F2" w:rsidRPr="002B36A7">
        <w:rPr>
          <w:rFonts w:ascii="Times New Roman" w:hAnsi="Times New Roman" w:cs="Times New Roman"/>
          <w:color w:val="000000"/>
          <w:sz w:val="24"/>
          <w:szCs w:val="24"/>
        </w:rPr>
        <w:t>média ± DP de erros do elemento 23 foi de 7,93 ± 2,55, já no elemento 24 foi de 6,50 ± 4,05 enquanto no elemento 26 foi de 6,05 ± 3,33.</w:t>
      </w:r>
      <w:r w:rsidR="007630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C78F2" w:rsidRPr="002B36A7">
        <w:rPr>
          <w:rFonts w:ascii="Times New Roman" w:hAnsi="Times New Roman" w:cs="Times New Roman"/>
          <w:color w:val="000000"/>
          <w:sz w:val="24"/>
          <w:szCs w:val="24"/>
        </w:rPr>
        <w:t xml:space="preserve">Na avaliação da percepção visual </w:t>
      </w:r>
      <w:r w:rsidR="00FC78F2">
        <w:rPr>
          <w:rFonts w:ascii="Times New Roman" w:hAnsi="Times New Roman" w:cs="Times New Roman"/>
          <w:color w:val="000000"/>
          <w:sz w:val="24"/>
          <w:szCs w:val="24"/>
        </w:rPr>
        <w:t xml:space="preserve">no período de 2012.2, </w:t>
      </w:r>
      <w:r w:rsidR="00FC78F2" w:rsidRPr="002B36A7">
        <w:rPr>
          <w:rFonts w:ascii="Times New Roman" w:hAnsi="Times New Roman" w:cs="Times New Roman"/>
          <w:color w:val="000000"/>
          <w:sz w:val="24"/>
          <w:szCs w:val="24"/>
        </w:rPr>
        <w:t>observou-se que 43,3%</w:t>
      </w:r>
      <w:r w:rsidR="00824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8F2" w:rsidRPr="002B36A7">
        <w:rPr>
          <w:rFonts w:ascii="Times New Roman" w:hAnsi="Times New Roman" w:cs="Times New Roman"/>
          <w:color w:val="000000"/>
          <w:sz w:val="24"/>
          <w:szCs w:val="24"/>
        </w:rPr>
        <w:t>(13) dos alunos obtiveram o escore regular na primeira aval</w:t>
      </w:r>
      <w:r w:rsidR="009D47AE">
        <w:rPr>
          <w:rFonts w:ascii="Times New Roman" w:hAnsi="Times New Roman" w:cs="Times New Roman"/>
          <w:color w:val="000000"/>
          <w:sz w:val="24"/>
          <w:szCs w:val="24"/>
        </w:rPr>
        <w:t>iação, que foi do elemento 23. H</w:t>
      </w:r>
      <w:r w:rsidR="00FC78F2" w:rsidRPr="002B36A7">
        <w:rPr>
          <w:rFonts w:ascii="Times New Roman" w:hAnsi="Times New Roman" w:cs="Times New Roman"/>
          <w:color w:val="000000"/>
          <w:sz w:val="24"/>
          <w:szCs w:val="24"/>
        </w:rPr>
        <w:t xml:space="preserve">ouve uma diminuição significativa do escore regular, e um aumento do escore excelente </w:t>
      </w:r>
      <w:r w:rsidR="00FC78F2">
        <w:rPr>
          <w:rFonts w:ascii="Times New Roman" w:hAnsi="Times New Roman" w:cs="Times New Roman"/>
          <w:color w:val="000000"/>
          <w:sz w:val="24"/>
          <w:szCs w:val="24"/>
        </w:rPr>
        <w:t xml:space="preserve">(Tabela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C78F2" w:rsidRPr="002B36A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C78F2" w:rsidRDefault="00FC78F2" w:rsidP="0011348A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9D47AE">
        <w:rPr>
          <w:rFonts w:ascii="Times New Roman" w:hAnsi="Times New Roman" w:cs="Times New Roman"/>
          <w:sz w:val="24"/>
          <w:szCs w:val="24"/>
        </w:rPr>
        <w:t>1</w:t>
      </w:r>
      <w:r w:rsidRPr="002B36A7">
        <w:rPr>
          <w:rFonts w:ascii="Times New Roman" w:hAnsi="Times New Roman" w:cs="Times New Roman"/>
          <w:sz w:val="24"/>
          <w:szCs w:val="24"/>
        </w:rPr>
        <w:t>: Distribuição dos alunos do curso de odontologia de acordo com os escores de percepção visual.  João Pessoa, 2013.</w:t>
      </w:r>
    </w:p>
    <w:tbl>
      <w:tblPr>
        <w:tblpPr w:leftFromText="141" w:rightFromText="141" w:vertAnchor="text" w:tblpXSpec="center" w:tblpY="1"/>
        <w:tblOverlap w:val="never"/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851"/>
        <w:gridCol w:w="1276"/>
        <w:gridCol w:w="567"/>
        <w:gridCol w:w="708"/>
        <w:gridCol w:w="567"/>
        <w:gridCol w:w="709"/>
        <w:gridCol w:w="709"/>
        <w:gridCol w:w="709"/>
      </w:tblGrid>
      <w:tr w:rsidR="00FC78F2" w:rsidTr="00DD4134">
        <w:trPr>
          <w:trHeight w:val="504"/>
        </w:trPr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Elementos dentários</w:t>
            </w:r>
          </w:p>
        </w:tc>
      </w:tr>
      <w:tr w:rsidR="00FC78F2" w:rsidTr="00DD4134">
        <w:trPr>
          <w:trHeight w:val="504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FC78F2" w:rsidTr="00DD4134">
        <w:trPr>
          <w:trHeight w:val="504"/>
        </w:trPr>
        <w:tc>
          <w:tcPr>
            <w:tcW w:w="2127" w:type="dxa"/>
            <w:gridSpan w:val="2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FC78F2" w:rsidTr="00DD4134">
        <w:trPr>
          <w:trHeight w:val="273"/>
        </w:trPr>
        <w:tc>
          <w:tcPr>
            <w:tcW w:w="851" w:type="dxa"/>
            <w:vMerge w:val="restart"/>
            <w:shd w:val="clear" w:color="000000" w:fill="FFFFFF"/>
            <w:vAlign w:val="center"/>
          </w:tcPr>
          <w:p w:rsidR="00FC78F2" w:rsidRPr="00DE7100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100">
              <w:rPr>
                <w:rFonts w:ascii="Times New Roman" w:hAnsi="Times New Roman" w:cs="Times New Roman"/>
                <w:color w:val="000000"/>
              </w:rPr>
              <w:t>Escore</w:t>
            </w:r>
          </w:p>
          <w:p w:rsidR="00FC78F2" w:rsidRPr="00DE7100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C78F2" w:rsidRPr="00DE7100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C78F2" w:rsidRPr="00DE7100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FC78F2" w:rsidRPr="00DE7100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100">
              <w:rPr>
                <w:rFonts w:ascii="Times New Roman" w:hAnsi="Times New Roman" w:cs="Times New Roman"/>
                <w:color w:val="000000"/>
              </w:rPr>
              <w:t>Excelente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</w:t>
            </w:r>
          </w:p>
        </w:tc>
      </w:tr>
      <w:tr w:rsidR="00FC78F2" w:rsidTr="00DD4134">
        <w:trPr>
          <w:trHeight w:val="273"/>
        </w:trPr>
        <w:tc>
          <w:tcPr>
            <w:tcW w:w="851" w:type="dxa"/>
            <w:vMerge/>
            <w:shd w:val="clear" w:color="000000" w:fill="FFFFFF"/>
            <w:vAlign w:val="center"/>
          </w:tcPr>
          <w:p w:rsidR="00FC78F2" w:rsidRPr="00DE7100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FC78F2" w:rsidRPr="00DE7100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100">
              <w:rPr>
                <w:rFonts w:ascii="Times New Roman" w:hAnsi="Times New Roman" w:cs="Times New Roman"/>
                <w:color w:val="000000"/>
              </w:rPr>
              <w:t>Bom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42,9</w:t>
            </w:r>
          </w:p>
        </w:tc>
      </w:tr>
      <w:tr w:rsidR="00FC78F2" w:rsidTr="00DD4134">
        <w:trPr>
          <w:trHeight w:val="273"/>
        </w:trPr>
        <w:tc>
          <w:tcPr>
            <w:tcW w:w="851" w:type="dxa"/>
            <w:vMerge/>
            <w:shd w:val="clear" w:color="000000" w:fill="FFFFFF"/>
            <w:vAlign w:val="center"/>
          </w:tcPr>
          <w:p w:rsidR="00FC78F2" w:rsidRPr="00DE7100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FC78F2" w:rsidRPr="00DE7100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100">
              <w:rPr>
                <w:rFonts w:ascii="Times New Roman" w:hAnsi="Times New Roman" w:cs="Times New Roman"/>
                <w:color w:val="000000"/>
              </w:rPr>
              <w:t>Regular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00,0</w:t>
            </w:r>
          </w:p>
        </w:tc>
      </w:tr>
      <w:tr w:rsidR="00FC78F2" w:rsidTr="00DD4134">
        <w:trPr>
          <w:trHeight w:val="273"/>
        </w:trPr>
        <w:tc>
          <w:tcPr>
            <w:tcW w:w="851" w:type="dxa"/>
            <w:vMerge/>
            <w:shd w:val="clear" w:color="000000" w:fill="FFFFFF"/>
            <w:vAlign w:val="center"/>
          </w:tcPr>
          <w:p w:rsidR="00FC78F2" w:rsidRPr="00DE7100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FC78F2" w:rsidRPr="00DE7100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100">
              <w:rPr>
                <w:rFonts w:ascii="Times New Roman" w:hAnsi="Times New Roman" w:cs="Times New Roman"/>
                <w:color w:val="000000"/>
              </w:rPr>
              <w:t>Insuficiente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00,0</w:t>
            </w:r>
          </w:p>
        </w:tc>
      </w:tr>
      <w:tr w:rsidR="00FC78F2" w:rsidTr="00DD4134">
        <w:trPr>
          <w:trHeight w:val="273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C78F2" w:rsidRPr="00DE7100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C78F2" w:rsidRPr="00DE7100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100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C78F2" w:rsidRDefault="00FC78F2" w:rsidP="00113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</w:tbl>
    <w:p w:rsidR="00FC78F2" w:rsidRDefault="00FC78F2" w:rsidP="001134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FC78F2" w:rsidRDefault="00FC78F2" w:rsidP="001134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FC78F2" w:rsidRDefault="00FC78F2" w:rsidP="001134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textWrapping" w:clear="all"/>
      </w:r>
      <w:r w:rsidR="0082444C">
        <w:rPr>
          <w:rFonts w:ascii="Times New Roman" w:hAnsi="Times New Roman" w:cs="Times New Roman"/>
          <w:color w:val="000000"/>
          <w:sz w:val="24"/>
          <w:szCs w:val="24"/>
        </w:rPr>
        <w:t xml:space="preserve">Fonte: </w:t>
      </w:r>
      <w:r w:rsidRPr="00DE7100">
        <w:rPr>
          <w:rFonts w:ascii="Times New Roman" w:hAnsi="Times New Roman" w:cs="Times New Roman"/>
          <w:color w:val="000000"/>
          <w:sz w:val="24"/>
          <w:szCs w:val="24"/>
        </w:rPr>
        <w:t>Dados da própria avaliação.</w:t>
      </w:r>
    </w:p>
    <w:p w:rsidR="00BF0CAD" w:rsidRPr="00A365C9" w:rsidRDefault="00BF0CAD" w:rsidP="0011348A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30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Na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analise do gráfico 1</w:t>
      </w:r>
      <w:r w:rsidR="00BD40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referente ao</w:t>
      </w:r>
      <w:r w:rsidRPr="007630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numero de erros por face dos elementos avaliados nos períodos de 2012.2, observou-se que ocorreu uma diminuição de acordo com cada face ao decorrer das avaliações. No laboratório de escultura dental, é possível observar que os alunos executam os erros mais rústicos nos dentes anteriores por serem os elementos iniciadores da pratica de escultura dental; nos pré-molares e molares, os erros são menos grosseiros (COSTA</w:t>
      </w:r>
      <w:proofErr w:type="gramStart"/>
      <w:r w:rsidRPr="007630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FARIAS</w:t>
      </w:r>
      <w:proofErr w:type="gramEnd"/>
      <w:r w:rsidRPr="007630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LEITE, 2013). E tal fato pôde ser observado na avaliação. </w:t>
      </w:r>
      <w:r>
        <w:rPr>
          <w:rFonts w:ascii="Times New Roman" w:hAnsi="Times New Roman" w:cs="Times New Roman"/>
          <w:sz w:val="24"/>
          <w:szCs w:val="24"/>
        </w:rPr>
        <w:t>Já na an</w:t>
      </w:r>
      <w:r w:rsidR="00BD40F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lise do </w:t>
      </w:r>
      <w:proofErr w:type="gramStart"/>
      <w:r>
        <w:rPr>
          <w:rFonts w:ascii="Times New Roman" w:hAnsi="Times New Roman" w:cs="Times New Roman"/>
          <w:sz w:val="24"/>
          <w:szCs w:val="24"/>
        </w:rPr>
        <w:t>gráfico 2 referente</w:t>
      </w:r>
      <w:proofErr w:type="gramEnd"/>
      <w:r w:rsidRPr="00A4571F">
        <w:rPr>
          <w:rFonts w:ascii="Times New Roman" w:hAnsi="Times New Roman" w:cs="Times New Roman"/>
          <w:sz w:val="24"/>
          <w:szCs w:val="24"/>
        </w:rPr>
        <w:t xml:space="preserve"> ao n</w:t>
      </w:r>
      <w:r w:rsidR="00AB76A2">
        <w:rPr>
          <w:rFonts w:ascii="Times New Roman" w:hAnsi="Times New Roman" w:cs="Times New Roman"/>
          <w:sz w:val="24"/>
          <w:szCs w:val="24"/>
        </w:rPr>
        <w:t>ú</w:t>
      </w:r>
      <w:r w:rsidRPr="00A4571F">
        <w:rPr>
          <w:rFonts w:ascii="Times New Roman" w:hAnsi="Times New Roman" w:cs="Times New Roman"/>
          <w:sz w:val="24"/>
          <w:szCs w:val="24"/>
        </w:rPr>
        <w:t>mero de erros das faces dos elementos dentários no período de 2013.1, observou-se que no decorrer da avaliação as faces vestibular, proximal e oclusal, apresentaram uma m</w:t>
      </w:r>
      <w:r w:rsidR="00BD40F3">
        <w:rPr>
          <w:rFonts w:ascii="Times New Roman" w:hAnsi="Times New Roman" w:cs="Times New Roman"/>
          <w:sz w:val="24"/>
          <w:szCs w:val="24"/>
        </w:rPr>
        <w:t>é</w:t>
      </w:r>
      <w:r w:rsidRPr="00A4571F">
        <w:rPr>
          <w:rFonts w:ascii="Times New Roman" w:hAnsi="Times New Roman" w:cs="Times New Roman"/>
          <w:sz w:val="24"/>
          <w:szCs w:val="24"/>
        </w:rPr>
        <w:t xml:space="preserve">dia de erros, sendo assim, não pôde ser notado uma diferença significativa entre os elementos dentários avaliados. E dentre todas as faces a única que mostrou um declínio considerável foi </w:t>
      </w:r>
      <w:proofErr w:type="gramStart"/>
      <w:r w:rsidRPr="00A457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571F">
        <w:rPr>
          <w:rFonts w:ascii="Times New Roman" w:hAnsi="Times New Roman" w:cs="Times New Roman"/>
          <w:sz w:val="24"/>
          <w:szCs w:val="24"/>
        </w:rPr>
        <w:t xml:space="preserve"> face lingual.</w:t>
      </w:r>
    </w:p>
    <w:p w:rsidR="00FC78F2" w:rsidRPr="00590CAE" w:rsidRDefault="00FC78F2" w:rsidP="0011348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264">
        <w:rPr>
          <w:noProof/>
          <w:lang w:eastAsia="pt-BR"/>
        </w:rPr>
        <w:drawing>
          <wp:inline distT="0" distB="0" distL="0" distR="0">
            <wp:extent cx="3604044" cy="1999423"/>
            <wp:effectExtent l="19050" t="0" r="15456" b="827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90C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4CDF">
        <w:rPr>
          <w:rFonts w:ascii="Times New Roman" w:hAnsi="Times New Roman" w:cs="Times New Roman"/>
          <w:color w:val="000000"/>
          <w:sz w:val="20"/>
          <w:szCs w:val="20"/>
        </w:rPr>
        <w:t xml:space="preserve">Gráfico 1: </w:t>
      </w:r>
      <w:r w:rsidRPr="00604CDF">
        <w:rPr>
          <w:rFonts w:ascii="Times New Roman" w:hAnsi="Times New Roman" w:cs="Times New Roman"/>
          <w:sz w:val="20"/>
          <w:szCs w:val="20"/>
        </w:rPr>
        <w:t>Distribuição dos alunos do curso de odontologia no período de 2012.2 de acordo com o numero de erros por face.  João Pessoa, 2013.</w:t>
      </w:r>
    </w:p>
    <w:p w:rsidR="00A4571F" w:rsidRDefault="00A4571F" w:rsidP="001134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71F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379757" cy="2078331"/>
            <wp:effectExtent l="19050" t="0" r="11143" b="0"/>
            <wp:docPr id="24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571F" w:rsidRPr="00604CDF" w:rsidRDefault="00A4571F" w:rsidP="001134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04CDF">
        <w:rPr>
          <w:rFonts w:ascii="Times New Roman" w:hAnsi="Times New Roman" w:cs="Times New Roman"/>
          <w:color w:val="000000"/>
          <w:sz w:val="20"/>
          <w:szCs w:val="20"/>
        </w:rPr>
        <w:t xml:space="preserve">Gráfico 2: </w:t>
      </w:r>
      <w:r w:rsidRPr="00604CDF">
        <w:rPr>
          <w:rFonts w:ascii="Times New Roman" w:hAnsi="Times New Roman" w:cs="Times New Roman"/>
          <w:sz w:val="20"/>
          <w:szCs w:val="20"/>
        </w:rPr>
        <w:t>Distribuição dos alunos do curso de odontologia no período de 2013.1 de acordo com o numero de erros por face.  João Pessoa, 2013.</w:t>
      </w:r>
    </w:p>
    <w:p w:rsidR="00A4571F" w:rsidRDefault="00A4571F" w:rsidP="001134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78F2" w:rsidRPr="00E70A4F" w:rsidRDefault="00FC78F2" w:rsidP="001134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3333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Em relação aos gráficos 3,4 e 5, referente aos diâmetros dos elemento</w:t>
      </w:r>
      <w:r w:rsidR="00E70A4F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23, 24 e 26, do período 2012.2,</w:t>
      </w:r>
      <w:r w:rsidR="00ED0C8D">
        <w:rPr>
          <w:rFonts w:ascii="Times New Roman" w:hAnsi="Times New Roman" w:cs="Times New Roman"/>
          <w:color w:val="000000"/>
          <w:sz w:val="24"/>
          <w:szCs w:val="24"/>
        </w:rPr>
        <w:t xml:space="preserve"> e aos gráficos 6,</w:t>
      </w:r>
      <w:r w:rsidR="00BD40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C8D">
        <w:rPr>
          <w:rFonts w:ascii="Times New Roman" w:hAnsi="Times New Roman" w:cs="Times New Roman"/>
          <w:color w:val="000000"/>
          <w:sz w:val="24"/>
          <w:szCs w:val="24"/>
        </w:rPr>
        <w:t>7 e 8</w:t>
      </w:r>
      <w:r w:rsidR="00A4571F">
        <w:rPr>
          <w:rFonts w:ascii="Times New Roman" w:hAnsi="Times New Roman" w:cs="Times New Roman"/>
          <w:color w:val="000000"/>
          <w:sz w:val="24"/>
          <w:szCs w:val="24"/>
        </w:rPr>
        <w:t xml:space="preserve"> referente aos diâmetros dos elementos 21, 24 e 36, do período 2013.1,</w:t>
      </w:r>
      <w:r w:rsidR="00E70A4F">
        <w:rPr>
          <w:rFonts w:ascii="Times New Roman" w:hAnsi="Times New Roman" w:cs="Times New Roman"/>
          <w:color w:val="000000"/>
          <w:sz w:val="24"/>
          <w:szCs w:val="24"/>
        </w:rPr>
        <w:t xml:space="preserve"> verificou-se que o maior nú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mero de erros </w:t>
      </w:r>
      <w:r w:rsidRPr="00BF0CAD">
        <w:rPr>
          <w:rFonts w:ascii="Times New Roman" w:hAnsi="Times New Roman" w:cs="Times New Roman"/>
          <w:sz w:val="24"/>
          <w:szCs w:val="24"/>
        </w:rPr>
        <w:t>foi encontrado nos diâmetros do</w:t>
      </w:r>
      <w:r w:rsidR="00ED0C8D" w:rsidRPr="00BF0CAD">
        <w:rPr>
          <w:rFonts w:ascii="Times New Roman" w:hAnsi="Times New Roman" w:cs="Times New Roman"/>
          <w:sz w:val="24"/>
          <w:szCs w:val="24"/>
        </w:rPr>
        <w:t>s</w:t>
      </w:r>
      <w:r w:rsidRPr="00BF0CAD">
        <w:rPr>
          <w:rFonts w:ascii="Times New Roman" w:hAnsi="Times New Roman" w:cs="Times New Roman"/>
          <w:sz w:val="24"/>
          <w:szCs w:val="24"/>
        </w:rPr>
        <w:t xml:space="preserve"> elemento</w:t>
      </w:r>
      <w:r w:rsidR="00ED0C8D" w:rsidRPr="00BF0CAD">
        <w:rPr>
          <w:rFonts w:ascii="Times New Roman" w:hAnsi="Times New Roman" w:cs="Times New Roman"/>
          <w:sz w:val="24"/>
          <w:szCs w:val="24"/>
        </w:rPr>
        <w:t>s</w:t>
      </w:r>
      <w:r w:rsidRPr="00BF0CAD">
        <w:rPr>
          <w:rFonts w:ascii="Times New Roman" w:hAnsi="Times New Roman" w:cs="Times New Roman"/>
          <w:sz w:val="24"/>
          <w:szCs w:val="24"/>
        </w:rPr>
        <w:t xml:space="preserve"> 23</w:t>
      </w:r>
      <w:r w:rsidR="00ED0C8D" w:rsidRPr="00BF0CAD">
        <w:rPr>
          <w:rFonts w:ascii="Times New Roman" w:hAnsi="Times New Roman" w:cs="Times New Roman"/>
          <w:sz w:val="24"/>
          <w:szCs w:val="24"/>
        </w:rPr>
        <w:t xml:space="preserve"> e 21</w:t>
      </w:r>
      <w:r w:rsidR="004C00B4" w:rsidRPr="00BF0CAD">
        <w:rPr>
          <w:rFonts w:ascii="Times New Roman" w:hAnsi="Times New Roman" w:cs="Times New Roman"/>
          <w:sz w:val="24"/>
          <w:szCs w:val="24"/>
        </w:rPr>
        <w:t>.</w:t>
      </w:r>
      <w:r w:rsidRPr="00BF0CAD">
        <w:rPr>
          <w:rFonts w:ascii="Times New Roman" w:hAnsi="Times New Roman" w:cs="Times New Roman"/>
          <w:sz w:val="24"/>
          <w:szCs w:val="24"/>
        </w:rPr>
        <w:t xml:space="preserve"> Tal fato pode ser justificado por este</w:t>
      </w:r>
      <w:r w:rsidR="00ED0C8D" w:rsidRPr="00BF0CAD">
        <w:rPr>
          <w:rFonts w:ascii="Times New Roman" w:hAnsi="Times New Roman" w:cs="Times New Roman"/>
          <w:sz w:val="24"/>
          <w:szCs w:val="24"/>
        </w:rPr>
        <w:t>s</w:t>
      </w:r>
      <w:r w:rsidRPr="00BF0CAD">
        <w:rPr>
          <w:rFonts w:ascii="Times New Roman" w:hAnsi="Times New Roman" w:cs="Times New Roman"/>
          <w:sz w:val="24"/>
          <w:szCs w:val="24"/>
        </w:rPr>
        <w:t xml:space="preserve"> ter</w:t>
      </w:r>
      <w:r w:rsidR="00ED0C8D" w:rsidRPr="00BF0CAD">
        <w:rPr>
          <w:rFonts w:ascii="Times New Roman" w:hAnsi="Times New Roman" w:cs="Times New Roman"/>
          <w:sz w:val="24"/>
          <w:szCs w:val="24"/>
        </w:rPr>
        <w:t>em</w:t>
      </w:r>
      <w:r w:rsidRPr="00BF0CAD">
        <w:rPr>
          <w:rFonts w:ascii="Times New Roman" w:hAnsi="Times New Roman" w:cs="Times New Roman"/>
          <w:sz w:val="24"/>
          <w:szCs w:val="24"/>
        </w:rPr>
        <w:t xml:space="preserve"> sido o</w:t>
      </w:r>
      <w:r w:rsidR="00ED0C8D" w:rsidRPr="00BF0CAD">
        <w:rPr>
          <w:rFonts w:ascii="Times New Roman" w:hAnsi="Times New Roman" w:cs="Times New Roman"/>
          <w:sz w:val="24"/>
          <w:szCs w:val="24"/>
        </w:rPr>
        <w:t>s</w:t>
      </w:r>
      <w:r w:rsidRPr="00BF0CAD">
        <w:rPr>
          <w:rFonts w:ascii="Times New Roman" w:hAnsi="Times New Roman" w:cs="Times New Roman"/>
          <w:sz w:val="24"/>
          <w:szCs w:val="24"/>
        </w:rPr>
        <w:t xml:space="preserve"> primeiro</w:t>
      </w:r>
      <w:r w:rsidR="00ED0C8D" w:rsidRPr="00BF0CAD">
        <w:rPr>
          <w:rFonts w:ascii="Times New Roman" w:hAnsi="Times New Roman" w:cs="Times New Roman"/>
          <w:sz w:val="24"/>
          <w:szCs w:val="24"/>
        </w:rPr>
        <w:t>s</w:t>
      </w:r>
      <w:r w:rsidRPr="00BF0CAD">
        <w:rPr>
          <w:rFonts w:ascii="Times New Roman" w:hAnsi="Times New Roman" w:cs="Times New Roman"/>
          <w:sz w:val="24"/>
          <w:szCs w:val="24"/>
        </w:rPr>
        <w:t xml:space="preserve"> elemento</w:t>
      </w:r>
      <w:r w:rsidR="00ED0C8D" w:rsidRPr="00BF0CAD">
        <w:rPr>
          <w:rFonts w:ascii="Times New Roman" w:hAnsi="Times New Roman" w:cs="Times New Roman"/>
          <w:sz w:val="24"/>
          <w:szCs w:val="24"/>
        </w:rPr>
        <w:t>s</w:t>
      </w:r>
      <w:r w:rsidRPr="00BF0CAD">
        <w:rPr>
          <w:rFonts w:ascii="Times New Roman" w:hAnsi="Times New Roman" w:cs="Times New Roman"/>
          <w:sz w:val="24"/>
          <w:szCs w:val="24"/>
        </w:rPr>
        <w:t xml:space="preserve"> a ser confeccionado na prática de Escultura Dental</w:t>
      </w:r>
      <w:r w:rsidR="00ED0C8D" w:rsidRPr="00BF0CAD">
        <w:rPr>
          <w:rFonts w:ascii="Times New Roman" w:hAnsi="Times New Roman" w:cs="Times New Roman"/>
          <w:sz w:val="24"/>
          <w:szCs w:val="24"/>
        </w:rPr>
        <w:t xml:space="preserve"> no período 2012.2 e 2013.1 respectivamente</w:t>
      </w:r>
      <w:r w:rsidRPr="00BF0CAD">
        <w:rPr>
          <w:rFonts w:ascii="Times New Roman" w:hAnsi="Times New Roman" w:cs="Times New Roman"/>
          <w:sz w:val="24"/>
          <w:szCs w:val="24"/>
        </w:rPr>
        <w:t>. Sendo então, o primeiro contato dos alunos com a técnica e a necessidade de se adquirir e aprimorar a percepção visual.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78"/>
      </w:tblGrid>
      <w:tr w:rsidR="00803576" w:rsidRPr="00AA44F4" w:rsidTr="00604CDF">
        <w:trPr>
          <w:trHeight w:val="3139"/>
        </w:trPr>
        <w:tc>
          <w:tcPr>
            <w:tcW w:w="4644" w:type="dxa"/>
          </w:tcPr>
          <w:p w:rsidR="00803576" w:rsidRPr="00AA44F4" w:rsidRDefault="00803576" w:rsidP="0011348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highlight w:val="yellow"/>
              </w:rPr>
            </w:pPr>
            <w:r w:rsidRPr="00803576">
              <w:rPr>
                <w:rFonts w:ascii="Arial" w:eastAsia="Times New Roman" w:hAnsi="Arial" w:cs="Arial"/>
                <w:b/>
                <w:noProof/>
                <w:color w:val="000000"/>
                <w:kern w:val="28"/>
                <w:sz w:val="18"/>
                <w:szCs w:val="18"/>
                <w:lang w:eastAsia="pt-BR"/>
              </w:rPr>
              <w:drawing>
                <wp:inline distT="0" distB="0" distL="0" distR="0">
                  <wp:extent cx="2713219" cy="1823720"/>
                  <wp:effectExtent l="19050" t="0" r="10931" b="5080"/>
                  <wp:docPr id="9" name="Grá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03576" w:rsidRPr="00AA44F4" w:rsidRDefault="00803576" w:rsidP="0011348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highlight w:val="yellow"/>
              </w:rPr>
            </w:pPr>
            <w:r w:rsidRPr="00803576">
              <w:rPr>
                <w:rFonts w:ascii="Arial" w:eastAsia="Times New Roman" w:hAnsi="Arial" w:cs="Arial"/>
                <w:b/>
                <w:noProof/>
                <w:color w:val="000000"/>
                <w:kern w:val="28"/>
                <w:sz w:val="18"/>
                <w:szCs w:val="18"/>
                <w:lang w:eastAsia="pt-BR"/>
              </w:rPr>
              <w:drawing>
                <wp:inline distT="0" distB="0" distL="0" distR="0">
                  <wp:extent cx="2786401" cy="1813809"/>
                  <wp:effectExtent l="19050" t="0" r="13949" b="0"/>
                  <wp:docPr id="14" name="Gráfico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803576" w:rsidRPr="00AA44F4" w:rsidTr="00604CDF">
        <w:trPr>
          <w:trHeight w:val="1501"/>
        </w:trPr>
        <w:tc>
          <w:tcPr>
            <w:tcW w:w="4644" w:type="dxa"/>
          </w:tcPr>
          <w:p w:rsidR="00803576" w:rsidRPr="00604CDF" w:rsidRDefault="00803576" w:rsidP="0011348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0"/>
                <w:szCs w:val="20"/>
                <w:highlight w:val="yellow"/>
              </w:rPr>
            </w:pPr>
            <w:r w:rsidRPr="00604CDF">
              <w:rPr>
                <w:rFonts w:ascii="Times New Roman" w:hAnsi="Times New Roman" w:cs="Times New Roman"/>
                <w:sz w:val="20"/>
                <w:szCs w:val="20"/>
              </w:rPr>
              <w:t xml:space="preserve">Gráfico </w:t>
            </w:r>
            <w:r w:rsidR="00A4571F" w:rsidRPr="00604C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4CDF">
              <w:rPr>
                <w:rFonts w:ascii="Times New Roman" w:hAnsi="Times New Roman" w:cs="Times New Roman"/>
                <w:sz w:val="20"/>
                <w:szCs w:val="20"/>
              </w:rPr>
              <w:t>: Distribuição dos alunos do curso</w:t>
            </w:r>
            <w:proofErr w:type="gramStart"/>
            <w:r w:rsidRPr="00604CD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604C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de odontologia de acordo com o numero de </w:t>
            </w:r>
            <w:r w:rsidRPr="00604C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erros dos diâmetro do elemento 23 no período de 2012.2.  João Pessoa, 2013.                                        </w:t>
            </w:r>
          </w:p>
        </w:tc>
        <w:tc>
          <w:tcPr>
            <w:tcW w:w="4678" w:type="dxa"/>
          </w:tcPr>
          <w:p w:rsidR="00803576" w:rsidRPr="00604CDF" w:rsidRDefault="00803576" w:rsidP="0011348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0"/>
                <w:szCs w:val="20"/>
                <w:highlight w:val="yellow"/>
              </w:rPr>
            </w:pPr>
            <w:r w:rsidRPr="00604CDF">
              <w:rPr>
                <w:rFonts w:ascii="Times New Roman" w:hAnsi="Times New Roman" w:cs="Times New Roman"/>
                <w:sz w:val="20"/>
                <w:szCs w:val="20"/>
              </w:rPr>
              <w:t xml:space="preserve">Gráfico </w:t>
            </w:r>
            <w:r w:rsidR="00A4571F" w:rsidRPr="00604C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4CDF">
              <w:rPr>
                <w:rFonts w:ascii="Times New Roman" w:hAnsi="Times New Roman" w:cs="Times New Roman"/>
                <w:sz w:val="20"/>
                <w:szCs w:val="20"/>
              </w:rPr>
              <w:t>: Distribuição dos alunos do curso</w:t>
            </w:r>
            <w:proofErr w:type="gramStart"/>
            <w:r w:rsidRPr="00604CD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604C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de odontologia de acordo com o numero de </w:t>
            </w:r>
            <w:r w:rsidRPr="00604C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erros dos diâmetro do elemento 24 no período de 2012.2.  João Pessoa, 2013.                                        </w:t>
            </w:r>
          </w:p>
        </w:tc>
      </w:tr>
      <w:tr w:rsidR="00803576" w:rsidRPr="00AA44F4" w:rsidTr="00604CDF">
        <w:trPr>
          <w:trHeight w:val="2647"/>
        </w:trPr>
        <w:tc>
          <w:tcPr>
            <w:tcW w:w="4644" w:type="dxa"/>
          </w:tcPr>
          <w:p w:rsidR="00803576" w:rsidRPr="00AA44F4" w:rsidRDefault="00803576" w:rsidP="0011348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highlight w:val="yellow"/>
              </w:rPr>
            </w:pPr>
            <w:r w:rsidRPr="00803576">
              <w:rPr>
                <w:rFonts w:ascii="Arial" w:eastAsia="Times New Roman" w:hAnsi="Arial" w:cs="Arial"/>
                <w:b/>
                <w:noProof/>
                <w:kern w:val="28"/>
                <w:lang w:eastAsia="pt-BR"/>
              </w:rPr>
              <w:drawing>
                <wp:inline distT="0" distB="0" distL="0" distR="0">
                  <wp:extent cx="2816766" cy="1690079"/>
                  <wp:effectExtent l="19050" t="0" r="21684" b="5371"/>
                  <wp:docPr id="15" name="Gráfico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03576" w:rsidRPr="00AA44F4" w:rsidRDefault="00803576" w:rsidP="0011348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highlight w:val="yellow"/>
              </w:rPr>
            </w:pPr>
            <w:r w:rsidRPr="00803576">
              <w:rPr>
                <w:rFonts w:ascii="Times New Roman" w:eastAsia="Times New Roman" w:hAnsi="Times New Roman"/>
                <w:b/>
                <w:bCs/>
                <w:noProof/>
                <w:kern w:val="28"/>
                <w:sz w:val="24"/>
                <w:szCs w:val="24"/>
                <w:lang w:eastAsia="pt-BR"/>
              </w:rPr>
              <w:drawing>
                <wp:inline distT="0" distB="0" distL="0" distR="0">
                  <wp:extent cx="2785766" cy="1663909"/>
                  <wp:effectExtent l="19050" t="0" r="14584" b="0"/>
                  <wp:docPr id="17" name="Gráfico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803576" w:rsidRPr="00AA44F4" w:rsidTr="00604CDF">
        <w:trPr>
          <w:trHeight w:val="1517"/>
        </w:trPr>
        <w:tc>
          <w:tcPr>
            <w:tcW w:w="4644" w:type="dxa"/>
          </w:tcPr>
          <w:p w:rsidR="00803576" w:rsidRPr="00604CDF" w:rsidRDefault="00803576" w:rsidP="0011348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0"/>
                <w:szCs w:val="20"/>
                <w:highlight w:val="yellow"/>
              </w:rPr>
            </w:pPr>
            <w:r w:rsidRPr="00604CDF">
              <w:rPr>
                <w:rFonts w:ascii="Times New Roman" w:hAnsi="Times New Roman" w:cs="Times New Roman"/>
                <w:sz w:val="20"/>
                <w:szCs w:val="20"/>
              </w:rPr>
              <w:t xml:space="preserve">Gráfico </w:t>
            </w:r>
            <w:r w:rsidR="00A4571F" w:rsidRPr="00604C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4CDF">
              <w:rPr>
                <w:rFonts w:ascii="Times New Roman" w:hAnsi="Times New Roman" w:cs="Times New Roman"/>
                <w:sz w:val="20"/>
                <w:szCs w:val="20"/>
              </w:rPr>
              <w:t>: Distribuição dos alunos do curso</w:t>
            </w:r>
            <w:proofErr w:type="gramStart"/>
            <w:r w:rsidRPr="00604CD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604C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de odontologia de acordo com o numero de </w:t>
            </w:r>
            <w:r w:rsidRPr="00604C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erros dos diâmetro do elemento 26 no período de 2012.2.  João Pessoa, 2013.                                         </w:t>
            </w:r>
          </w:p>
        </w:tc>
        <w:tc>
          <w:tcPr>
            <w:tcW w:w="4678" w:type="dxa"/>
          </w:tcPr>
          <w:p w:rsidR="00803576" w:rsidRPr="00604CDF" w:rsidRDefault="00803576" w:rsidP="0011348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0"/>
                <w:szCs w:val="20"/>
                <w:highlight w:val="yellow"/>
              </w:rPr>
            </w:pPr>
            <w:r w:rsidRPr="00604CDF">
              <w:rPr>
                <w:rFonts w:ascii="Times New Roman" w:hAnsi="Times New Roman" w:cs="Times New Roman"/>
                <w:sz w:val="20"/>
                <w:szCs w:val="20"/>
              </w:rPr>
              <w:t xml:space="preserve">Gráfico </w:t>
            </w:r>
            <w:r w:rsidR="00A4571F" w:rsidRPr="00604C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4CDF">
              <w:rPr>
                <w:rFonts w:ascii="Times New Roman" w:hAnsi="Times New Roman" w:cs="Times New Roman"/>
                <w:sz w:val="20"/>
                <w:szCs w:val="20"/>
              </w:rPr>
              <w:t>: Distribuição dos alunos do curso</w:t>
            </w:r>
            <w:proofErr w:type="gramStart"/>
            <w:r w:rsidRPr="00604CD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604C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de odontologia de acordo com o numero de </w:t>
            </w:r>
            <w:r w:rsidRPr="00604C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erros dos diâmetro do elemento 21 no período de 2013.1.  João Pessoa, 2013.                                        </w:t>
            </w:r>
          </w:p>
        </w:tc>
      </w:tr>
      <w:tr w:rsidR="00604CDF" w:rsidRPr="00AA44F4" w:rsidTr="00604CDF">
        <w:trPr>
          <w:trHeight w:val="129"/>
        </w:trPr>
        <w:tc>
          <w:tcPr>
            <w:tcW w:w="4644" w:type="dxa"/>
          </w:tcPr>
          <w:p w:rsidR="00604CDF" w:rsidRPr="00803576" w:rsidRDefault="00604CDF" w:rsidP="0011348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576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>
                  <wp:extent cx="2685744" cy="1813035"/>
                  <wp:effectExtent l="19050" t="0" r="19356" b="0"/>
                  <wp:docPr id="7" name="Gráfico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604CDF" w:rsidRPr="00803576" w:rsidRDefault="00604CDF" w:rsidP="0011348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576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598025" cy="1813035"/>
                  <wp:effectExtent l="19050" t="0" r="11825" b="0"/>
                  <wp:docPr id="8" name="Gráfico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604CDF" w:rsidRPr="00AA44F4" w:rsidTr="00604CDF">
        <w:trPr>
          <w:trHeight w:val="129"/>
        </w:trPr>
        <w:tc>
          <w:tcPr>
            <w:tcW w:w="4644" w:type="dxa"/>
          </w:tcPr>
          <w:p w:rsidR="00604CDF" w:rsidRPr="00604CDF" w:rsidRDefault="00604CDF" w:rsidP="0011348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CDF">
              <w:rPr>
                <w:rFonts w:ascii="Times New Roman" w:hAnsi="Times New Roman" w:cs="Times New Roman"/>
                <w:sz w:val="20"/>
                <w:szCs w:val="20"/>
              </w:rPr>
              <w:t>Gráfico 7: Distribuição dos alunos do curso</w:t>
            </w:r>
            <w:proofErr w:type="gramStart"/>
            <w:r w:rsidRPr="00604CD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604C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de odontologia de acordo com o numero de </w:t>
            </w:r>
            <w:r w:rsidRPr="00604C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erros dos diâmetro do elemento 24 no período de 2013.1.  João Pessoa, 2013.                                           </w:t>
            </w:r>
          </w:p>
        </w:tc>
        <w:tc>
          <w:tcPr>
            <w:tcW w:w="4678" w:type="dxa"/>
          </w:tcPr>
          <w:p w:rsidR="00604CDF" w:rsidRPr="00604CDF" w:rsidRDefault="00604CDF" w:rsidP="0011348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CDF">
              <w:rPr>
                <w:rFonts w:ascii="Times New Roman" w:hAnsi="Times New Roman" w:cs="Times New Roman"/>
                <w:sz w:val="20"/>
                <w:szCs w:val="20"/>
              </w:rPr>
              <w:t>Gráfico 8: Distribuição dos alunos do curso</w:t>
            </w:r>
            <w:proofErr w:type="gramStart"/>
            <w:r w:rsidRPr="00604CD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604C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de odontologia de acordo com o numero de </w:t>
            </w:r>
            <w:r w:rsidRPr="00604C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erros dos diâmetro do elemento 26 no período de 2013.1.  João Pessoa, 2013.                                           </w:t>
            </w:r>
          </w:p>
        </w:tc>
      </w:tr>
    </w:tbl>
    <w:p w:rsidR="00AF1DA3" w:rsidRPr="00C90829" w:rsidRDefault="00E70A4F" w:rsidP="0011348A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ajuste oclusal verificado por meio de </w:t>
      </w:r>
      <w:r w:rsidR="00FC78F2" w:rsidRPr="00E12EB7">
        <w:rPr>
          <w:rFonts w:ascii="Times New Roman" w:hAnsi="Times New Roman" w:cs="Times New Roman"/>
          <w:sz w:val="24"/>
          <w:szCs w:val="24"/>
        </w:rPr>
        <w:t xml:space="preserve">marcação na </w:t>
      </w:r>
      <w:r>
        <w:rPr>
          <w:rFonts w:ascii="Times New Roman" w:hAnsi="Times New Roman" w:cs="Times New Roman"/>
          <w:sz w:val="24"/>
          <w:szCs w:val="24"/>
        </w:rPr>
        <w:t xml:space="preserve">face </w:t>
      </w:r>
      <w:r w:rsidR="00FC78F2" w:rsidRPr="00E12EB7">
        <w:rPr>
          <w:rFonts w:ascii="Times New Roman" w:hAnsi="Times New Roman" w:cs="Times New Roman"/>
          <w:sz w:val="24"/>
          <w:szCs w:val="24"/>
        </w:rPr>
        <w:t xml:space="preserve">oclusal </w:t>
      </w:r>
      <w:r>
        <w:rPr>
          <w:rFonts w:ascii="Times New Roman" w:hAnsi="Times New Roman" w:cs="Times New Roman"/>
          <w:sz w:val="24"/>
          <w:szCs w:val="24"/>
        </w:rPr>
        <w:t xml:space="preserve">ou borda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incisal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6A4">
        <w:rPr>
          <w:rFonts w:ascii="Times New Roman" w:hAnsi="Times New Roman" w:cs="Times New Roman"/>
          <w:sz w:val="24"/>
          <w:szCs w:val="24"/>
        </w:rPr>
        <w:t xml:space="preserve">foi </w:t>
      </w:r>
      <w:r>
        <w:rPr>
          <w:rFonts w:ascii="Times New Roman" w:hAnsi="Times New Roman" w:cs="Times New Roman"/>
          <w:sz w:val="24"/>
          <w:szCs w:val="24"/>
        </w:rPr>
        <w:t>verificado</w:t>
      </w:r>
      <w:r w:rsidR="005946A4">
        <w:rPr>
          <w:rFonts w:ascii="Times New Roman" w:hAnsi="Times New Roman" w:cs="Times New Roman"/>
          <w:sz w:val="24"/>
          <w:szCs w:val="24"/>
        </w:rPr>
        <w:t xml:space="preserve"> nos dentes anteriores e posteriores</w:t>
      </w:r>
      <w:r>
        <w:rPr>
          <w:rFonts w:ascii="Times New Roman" w:hAnsi="Times New Roman" w:cs="Times New Roman"/>
          <w:sz w:val="24"/>
          <w:szCs w:val="24"/>
        </w:rPr>
        <w:t>. No p</w:t>
      </w:r>
      <w:r w:rsidR="00FC78F2">
        <w:rPr>
          <w:rFonts w:ascii="Times New Roman" w:hAnsi="Times New Roman" w:cs="Times New Roman"/>
          <w:sz w:val="24"/>
          <w:szCs w:val="24"/>
        </w:rPr>
        <w:t>eríodo 2012.2, percebeu-se uma queda significativa no número de erros do elemento 23 de 56,7% para 29,2% no elemento 24, já no elemento 26 foi verificado o maior número de erros (61,9%).</w:t>
      </w:r>
      <w:r w:rsidR="00AF1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F1DA3" w:rsidRPr="00AF1D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marcação na oclusal devido </w:t>
      </w:r>
      <w:proofErr w:type="gramStart"/>
      <w:r w:rsidR="00AF1DA3" w:rsidRPr="00AF1D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proofErr w:type="gramEnd"/>
      <w:r w:rsidR="00AF1DA3" w:rsidRPr="00AF1D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oclusão, do período 2013.1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houve</w:t>
      </w:r>
      <w:r w:rsidR="00AF1DA3" w:rsidRPr="00AF1D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uma queda significativa no número de erros do elemento 21 de 41,2% para 29,2% no elemento 24, já no elemento 36 foi verificado o maior número de erros (50%).</w:t>
      </w:r>
      <w:r w:rsidR="007630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BF0CAD" w:rsidRDefault="007E686B" w:rsidP="001134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FC78F2" w:rsidRPr="00BF0CAD" w:rsidRDefault="00FC78F2" w:rsidP="007E686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A8F">
        <w:rPr>
          <w:rFonts w:ascii="Times New Roman" w:hAnsi="Times New Roman" w:cs="Times New Roman"/>
          <w:sz w:val="24"/>
          <w:szCs w:val="24"/>
        </w:rPr>
        <w:t>Tendo em vista a grande importância da percepção visual na vida do acadêmico de odontologia e do cirurgião dentista, é fundamental que exista na graduação um estímulo para que essa característica seja desenvolvida de forma correta pelos graduandos.</w:t>
      </w:r>
      <w:r w:rsidR="00ED4A8F" w:rsidRPr="00ED4A8F">
        <w:rPr>
          <w:rFonts w:ascii="Times New Roman" w:hAnsi="Times New Roman" w:cs="Times New Roman"/>
          <w:sz w:val="24"/>
          <w:szCs w:val="24"/>
        </w:rPr>
        <w:t xml:space="preserve"> </w:t>
      </w:r>
      <w:r w:rsidRPr="00ED4A8F">
        <w:rPr>
          <w:rFonts w:ascii="Times New Roman" w:hAnsi="Times New Roman" w:cs="Times New Roman"/>
          <w:sz w:val="24"/>
          <w:szCs w:val="24"/>
        </w:rPr>
        <w:t>A Monitoria, como atividade acadêmica vinculada ao desenvolvimento curricular e à formação dos alunos, tem-se mostrado uma atividade facilitadora tanto da aprendizagem cooperativa quanto das relações professor-aluno e aluno-aluno, onde os alunos podem encontrar nos monitores mais uma possibilidade de complementar o seu conhecimento.</w:t>
      </w:r>
    </w:p>
    <w:p w:rsidR="00FC78F2" w:rsidRDefault="007E686B" w:rsidP="0011348A">
      <w:pPr>
        <w:pStyle w:val="Default"/>
        <w:spacing w:line="360" w:lineRule="auto"/>
        <w:jc w:val="both"/>
        <w:rPr>
          <w:b/>
          <w:bCs/>
          <w:color w:val="auto"/>
        </w:rPr>
      </w:pPr>
      <w:r w:rsidRPr="00CB3EA3">
        <w:rPr>
          <w:b/>
          <w:bCs/>
          <w:color w:val="auto"/>
        </w:rPr>
        <w:t xml:space="preserve">Referências </w:t>
      </w:r>
    </w:p>
    <w:p w:rsidR="007E686B" w:rsidRPr="00CB3EA3" w:rsidRDefault="007E686B" w:rsidP="0011348A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FC78F2" w:rsidRPr="00CB3EA3" w:rsidRDefault="00FC78F2" w:rsidP="00661B46">
      <w:pPr>
        <w:pStyle w:val="Default"/>
        <w:numPr>
          <w:ilvl w:val="0"/>
          <w:numId w:val="1"/>
        </w:numPr>
        <w:ind w:left="0"/>
        <w:jc w:val="both"/>
        <w:rPr>
          <w:bCs/>
          <w:color w:val="auto"/>
        </w:rPr>
      </w:pPr>
      <w:proofErr w:type="gramStart"/>
      <w:r>
        <w:rPr>
          <w:bCs/>
          <w:color w:val="auto"/>
        </w:rPr>
        <w:t>COSTA,</w:t>
      </w:r>
      <w:proofErr w:type="spellStart"/>
      <w:proofErr w:type="gramEnd"/>
      <w:r>
        <w:rPr>
          <w:bCs/>
          <w:color w:val="auto"/>
        </w:rPr>
        <w:t>A.P.C.</w:t>
      </w:r>
      <w:proofErr w:type="spellEnd"/>
      <w:r>
        <w:rPr>
          <w:bCs/>
          <w:color w:val="auto"/>
        </w:rPr>
        <w:t>; FARIAS,</w:t>
      </w:r>
      <w:proofErr w:type="spellStart"/>
      <w:r>
        <w:rPr>
          <w:bCs/>
          <w:color w:val="auto"/>
        </w:rPr>
        <w:t>I.A.P.</w:t>
      </w:r>
      <w:proofErr w:type="spellEnd"/>
      <w:r>
        <w:rPr>
          <w:bCs/>
          <w:color w:val="auto"/>
        </w:rPr>
        <w:t>;</w:t>
      </w:r>
      <w:r w:rsidR="007E686B">
        <w:rPr>
          <w:bCs/>
          <w:color w:val="auto"/>
        </w:rPr>
        <w:t xml:space="preserve"> </w:t>
      </w:r>
      <w:r>
        <w:rPr>
          <w:bCs/>
          <w:color w:val="auto"/>
        </w:rPr>
        <w:t>LEITE,</w:t>
      </w:r>
      <w:proofErr w:type="spellStart"/>
      <w:r>
        <w:rPr>
          <w:bCs/>
          <w:color w:val="auto"/>
        </w:rPr>
        <w:t>D.F.B.M.</w:t>
      </w:r>
      <w:proofErr w:type="spellEnd"/>
      <w:r>
        <w:rPr>
          <w:bCs/>
          <w:color w:val="auto"/>
        </w:rPr>
        <w:t xml:space="preserve"> Anatomia e escultura dental. João Pessoa: Editora </w:t>
      </w:r>
      <w:proofErr w:type="spellStart"/>
      <w:r>
        <w:rPr>
          <w:bCs/>
          <w:color w:val="auto"/>
        </w:rPr>
        <w:t>Universitária-UFPB</w:t>
      </w:r>
      <w:proofErr w:type="spellEnd"/>
      <w:r>
        <w:rPr>
          <w:bCs/>
          <w:color w:val="auto"/>
        </w:rPr>
        <w:t xml:space="preserve">, 2013. </w:t>
      </w:r>
      <w:r w:rsidR="007E686B">
        <w:rPr>
          <w:bCs/>
          <w:color w:val="auto"/>
        </w:rPr>
        <w:t>101p.</w:t>
      </w:r>
    </w:p>
    <w:p w:rsidR="00FC78F2" w:rsidRDefault="00FC78F2" w:rsidP="00661B46">
      <w:pPr>
        <w:pStyle w:val="Default"/>
        <w:numPr>
          <w:ilvl w:val="0"/>
          <w:numId w:val="1"/>
        </w:numPr>
        <w:ind w:left="0"/>
        <w:jc w:val="both"/>
        <w:rPr>
          <w:bCs/>
          <w:color w:val="auto"/>
        </w:rPr>
      </w:pPr>
      <w:r w:rsidRPr="007E686B">
        <w:rPr>
          <w:bCs/>
          <w:color w:val="auto"/>
        </w:rPr>
        <w:lastRenderedPageBreak/>
        <w:t>MANDARINO,</w:t>
      </w:r>
      <w:r w:rsidR="00661B46">
        <w:rPr>
          <w:bCs/>
          <w:color w:val="auto"/>
        </w:rPr>
        <w:t xml:space="preserve"> </w:t>
      </w:r>
      <w:r w:rsidRPr="007E686B">
        <w:rPr>
          <w:bCs/>
          <w:color w:val="auto"/>
        </w:rPr>
        <w:t xml:space="preserve">F. Cosmética em restaurações estéticas. </w:t>
      </w:r>
      <w:r w:rsidR="007E686B" w:rsidRPr="007E686B">
        <w:rPr>
          <w:bCs/>
          <w:color w:val="auto"/>
        </w:rPr>
        <w:t xml:space="preserve">Disponível em </w:t>
      </w:r>
      <w:hyperlink r:id="rId16" w:history="1">
        <w:r w:rsidR="007E686B" w:rsidRPr="007E686B">
          <w:rPr>
            <w:rStyle w:val="Hyperlink"/>
            <w:bCs/>
          </w:rPr>
          <w:t>http://www.forp.usp.br/restauradora/</w:t>
        </w:r>
      </w:hyperlink>
      <w:r w:rsidR="007E686B" w:rsidRPr="007E686B">
        <w:rPr>
          <w:bCs/>
          <w:color w:val="auto"/>
        </w:rPr>
        <w:t>dentistica/temas/este_cosm/este_cosm.html</w:t>
      </w:r>
      <w:r w:rsidR="007E686B">
        <w:rPr>
          <w:bCs/>
          <w:color w:val="auto"/>
        </w:rPr>
        <w:t>,</w:t>
      </w:r>
      <w:r w:rsidR="007E686B" w:rsidRPr="007E686B">
        <w:rPr>
          <w:bCs/>
          <w:color w:val="auto"/>
        </w:rPr>
        <w:t xml:space="preserve"> </w:t>
      </w:r>
      <w:r w:rsidRPr="007E686B">
        <w:rPr>
          <w:bCs/>
          <w:color w:val="auto"/>
        </w:rPr>
        <w:t>2003</w:t>
      </w:r>
      <w:r w:rsidR="007E686B">
        <w:rPr>
          <w:bCs/>
          <w:color w:val="auto"/>
        </w:rPr>
        <w:t>. Acesso em 15 de outubro de 2013.</w:t>
      </w:r>
    </w:p>
    <w:p w:rsidR="00661B46" w:rsidRDefault="00661B46" w:rsidP="00661B46">
      <w:pPr>
        <w:pStyle w:val="Default"/>
        <w:jc w:val="both"/>
        <w:rPr>
          <w:bCs/>
          <w:color w:val="auto"/>
        </w:rPr>
      </w:pPr>
    </w:p>
    <w:p w:rsidR="00661B46" w:rsidRPr="007E686B" w:rsidRDefault="00661B46" w:rsidP="00661B46">
      <w:pPr>
        <w:pStyle w:val="Default"/>
        <w:jc w:val="both"/>
        <w:rPr>
          <w:bCs/>
          <w:color w:val="auto"/>
        </w:rPr>
      </w:pPr>
    </w:p>
    <w:p w:rsidR="00FC78F2" w:rsidRDefault="00FC78F2" w:rsidP="00661B46">
      <w:pPr>
        <w:pStyle w:val="Default"/>
        <w:numPr>
          <w:ilvl w:val="0"/>
          <w:numId w:val="1"/>
        </w:numPr>
        <w:ind w:left="0"/>
        <w:jc w:val="both"/>
        <w:rPr>
          <w:bCs/>
          <w:color w:val="auto"/>
        </w:rPr>
      </w:pPr>
      <w:r w:rsidRPr="00CB3EA3">
        <w:rPr>
          <w:bCs/>
          <w:color w:val="auto"/>
        </w:rPr>
        <w:t xml:space="preserve">MONDELLI, J. Estética e Cosmética: em Clínica Integrada Restauradora. São Paulo: Editora </w:t>
      </w:r>
      <w:proofErr w:type="spellStart"/>
      <w:r w:rsidRPr="00CB3EA3">
        <w:rPr>
          <w:bCs/>
          <w:color w:val="auto"/>
        </w:rPr>
        <w:t>Quintessence</w:t>
      </w:r>
      <w:proofErr w:type="spellEnd"/>
      <w:r w:rsidRPr="00CB3EA3">
        <w:rPr>
          <w:bCs/>
          <w:color w:val="auto"/>
        </w:rPr>
        <w:t>, p.546. 2003.</w:t>
      </w:r>
      <w:r w:rsidR="007E686B">
        <w:rPr>
          <w:bCs/>
          <w:color w:val="auto"/>
        </w:rPr>
        <w:t xml:space="preserve"> 546p.</w:t>
      </w:r>
    </w:p>
    <w:p w:rsidR="00661B46" w:rsidRDefault="00661B46" w:rsidP="00661B46">
      <w:pPr>
        <w:pStyle w:val="Default"/>
        <w:jc w:val="both"/>
        <w:rPr>
          <w:bCs/>
          <w:color w:val="auto"/>
        </w:rPr>
      </w:pPr>
    </w:p>
    <w:p w:rsidR="00661B46" w:rsidRDefault="00661B46" w:rsidP="00661B46">
      <w:pPr>
        <w:pStyle w:val="Default"/>
        <w:jc w:val="both"/>
        <w:rPr>
          <w:bCs/>
          <w:color w:val="auto"/>
        </w:rPr>
      </w:pPr>
    </w:p>
    <w:p w:rsidR="00FC78F2" w:rsidRPr="00CB3EA3" w:rsidRDefault="00FC78F2" w:rsidP="00661B46">
      <w:pPr>
        <w:pStyle w:val="Recuodecorpodetexto"/>
        <w:numPr>
          <w:ilvl w:val="0"/>
          <w:numId w:val="1"/>
        </w:numPr>
        <w:ind w:left="0"/>
        <w:rPr>
          <w:rFonts w:ascii="Times New Roman" w:hAnsi="Times New Roman"/>
          <w:szCs w:val="24"/>
        </w:rPr>
      </w:pPr>
      <w:r w:rsidRPr="00CB3EA3">
        <w:rPr>
          <w:rFonts w:ascii="Times New Roman" w:hAnsi="Times New Roman"/>
          <w:szCs w:val="24"/>
        </w:rPr>
        <w:t xml:space="preserve">MARINHO, T.G.; BARBOSA, A.W.S.; OLIVEIRA,C.C.C.; GONÇALVES,S.R.J.; BARRETO,S.R. Cadernos de Graduação - Ciências Biológicas e da Saúde. </w:t>
      </w:r>
      <w:r w:rsidR="007E686B">
        <w:rPr>
          <w:rFonts w:ascii="Times New Roman" w:hAnsi="Times New Roman"/>
          <w:szCs w:val="24"/>
        </w:rPr>
        <w:t xml:space="preserve">v. </w:t>
      </w:r>
      <w:r w:rsidRPr="00CB3EA3">
        <w:rPr>
          <w:rFonts w:ascii="Times New Roman" w:hAnsi="Times New Roman"/>
          <w:szCs w:val="24"/>
        </w:rPr>
        <w:t>13</w:t>
      </w:r>
      <w:r w:rsidR="007E686B">
        <w:rPr>
          <w:rFonts w:ascii="Times New Roman" w:hAnsi="Times New Roman"/>
          <w:szCs w:val="24"/>
        </w:rPr>
        <w:t>,</w:t>
      </w:r>
      <w:r w:rsidRPr="00CB3EA3">
        <w:rPr>
          <w:rFonts w:ascii="Times New Roman" w:hAnsi="Times New Roman"/>
          <w:szCs w:val="24"/>
        </w:rPr>
        <w:t xml:space="preserve"> n.13</w:t>
      </w:r>
      <w:r w:rsidR="007E686B">
        <w:rPr>
          <w:rFonts w:ascii="Times New Roman" w:hAnsi="Times New Roman"/>
          <w:szCs w:val="24"/>
        </w:rPr>
        <w:t>,</w:t>
      </w:r>
      <w:r w:rsidRPr="00CB3EA3">
        <w:rPr>
          <w:rFonts w:ascii="Times New Roman" w:hAnsi="Times New Roman"/>
          <w:szCs w:val="24"/>
        </w:rPr>
        <w:t xml:space="preserve"> p. 89-98</w:t>
      </w:r>
      <w:r w:rsidR="007E686B">
        <w:rPr>
          <w:rFonts w:ascii="Times New Roman" w:hAnsi="Times New Roman"/>
          <w:szCs w:val="24"/>
        </w:rPr>
        <w:t>,</w:t>
      </w:r>
      <w:r w:rsidRPr="00CB3EA3">
        <w:rPr>
          <w:rFonts w:ascii="Times New Roman" w:hAnsi="Times New Roman"/>
          <w:szCs w:val="24"/>
        </w:rPr>
        <w:t xml:space="preserve"> 2011.</w:t>
      </w:r>
    </w:p>
    <w:p w:rsidR="001126EF" w:rsidRDefault="001126EF" w:rsidP="0011348A">
      <w:pPr>
        <w:spacing w:line="360" w:lineRule="auto"/>
        <w:jc w:val="both"/>
      </w:pPr>
    </w:p>
    <w:sectPr w:rsidR="001126EF" w:rsidSect="00A65DCB">
      <w:headerReference w:type="default" r:id="rId17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B82" w:rsidRDefault="00307B82" w:rsidP="0061236F">
      <w:pPr>
        <w:spacing w:after="0" w:line="240" w:lineRule="auto"/>
      </w:pPr>
      <w:r>
        <w:separator/>
      </w:r>
    </w:p>
  </w:endnote>
  <w:endnote w:type="continuationSeparator" w:id="0">
    <w:p w:rsidR="00307B82" w:rsidRDefault="00307B82" w:rsidP="0061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B82" w:rsidRDefault="00307B82" w:rsidP="0061236F">
      <w:pPr>
        <w:spacing w:after="0" w:line="240" w:lineRule="auto"/>
      </w:pPr>
      <w:r>
        <w:separator/>
      </w:r>
    </w:p>
  </w:footnote>
  <w:footnote w:type="continuationSeparator" w:id="0">
    <w:p w:rsidR="00307B82" w:rsidRDefault="00307B82" w:rsidP="0061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1610"/>
      <w:docPartObj>
        <w:docPartGallery w:val="Page Numbers (Top of Page)"/>
        <w:docPartUnique/>
      </w:docPartObj>
    </w:sdtPr>
    <w:sdtContent>
      <w:p w:rsidR="0061236F" w:rsidRDefault="00194200">
        <w:pPr>
          <w:pStyle w:val="Cabealho"/>
          <w:jc w:val="right"/>
        </w:pPr>
        <w:fldSimple w:instr=" PAGE   \* MERGEFORMAT ">
          <w:r w:rsidR="00AB76A2">
            <w:rPr>
              <w:noProof/>
            </w:rPr>
            <w:t>4</w:t>
          </w:r>
        </w:fldSimple>
      </w:p>
    </w:sdtContent>
  </w:sdt>
  <w:p w:rsidR="0061236F" w:rsidRDefault="006123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36934"/>
    <w:multiLevelType w:val="hybridMultilevel"/>
    <w:tmpl w:val="DA14AF9C"/>
    <w:lvl w:ilvl="0" w:tplc="9A6EDF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F2"/>
    <w:rsid w:val="00011B28"/>
    <w:rsid w:val="00035341"/>
    <w:rsid w:val="001126EF"/>
    <w:rsid w:val="0011348A"/>
    <w:rsid w:val="001266E7"/>
    <w:rsid w:val="00155CB7"/>
    <w:rsid w:val="00194200"/>
    <w:rsid w:val="001D4275"/>
    <w:rsid w:val="001F6DA3"/>
    <w:rsid w:val="001F6E9A"/>
    <w:rsid w:val="00207FCF"/>
    <w:rsid w:val="00307B82"/>
    <w:rsid w:val="00356ED6"/>
    <w:rsid w:val="003D147F"/>
    <w:rsid w:val="00435FA4"/>
    <w:rsid w:val="00441E13"/>
    <w:rsid w:val="004853C9"/>
    <w:rsid w:val="004965A0"/>
    <w:rsid w:val="004C00B4"/>
    <w:rsid w:val="0057317A"/>
    <w:rsid w:val="00590CAE"/>
    <w:rsid w:val="005946A4"/>
    <w:rsid w:val="005B7680"/>
    <w:rsid w:val="005D274E"/>
    <w:rsid w:val="00604CDF"/>
    <w:rsid w:val="0061236F"/>
    <w:rsid w:val="00661B46"/>
    <w:rsid w:val="0066743B"/>
    <w:rsid w:val="00750BFC"/>
    <w:rsid w:val="007630DE"/>
    <w:rsid w:val="007C3FD8"/>
    <w:rsid w:val="007E686B"/>
    <w:rsid w:val="00803576"/>
    <w:rsid w:val="0082444C"/>
    <w:rsid w:val="008F0076"/>
    <w:rsid w:val="009D47AE"/>
    <w:rsid w:val="00A42CA9"/>
    <w:rsid w:val="00A4571F"/>
    <w:rsid w:val="00A65DCB"/>
    <w:rsid w:val="00AA1F36"/>
    <w:rsid w:val="00AB76A2"/>
    <w:rsid w:val="00AF1DA3"/>
    <w:rsid w:val="00B06FD5"/>
    <w:rsid w:val="00BD40F3"/>
    <w:rsid w:val="00BF0CAD"/>
    <w:rsid w:val="00CB2C9D"/>
    <w:rsid w:val="00DD1FAF"/>
    <w:rsid w:val="00E3716E"/>
    <w:rsid w:val="00E70473"/>
    <w:rsid w:val="00E70A4F"/>
    <w:rsid w:val="00ED0C8D"/>
    <w:rsid w:val="00ED4A8F"/>
    <w:rsid w:val="00FC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C78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C78F2"/>
    <w:pPr>
      <w:spacing w:after="0" w:line="240" w:lineRule="auto"/>
      <w:ind w:firstLine="426"/>
      <w:jc w:val="both"/>
    </w:pPr>
    <w:rPr>
      <w:rFonts w:ascii="Arial" w:eastAsia="Times New Roman" w:hAnsi="Arial" w:cs="Times New Roman"/>
      <w:sz w:val="24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FC78F2"/>
    <w:rPr>
      <w:rFonts w:ascii="Arial" w:eastAsia="Times New Roman" w:hAnsi="Arial" w:cs="Times New Roman"/>
      <w:sz w:val="24"/>
      <w:szCs w:val="20"/>
      <w:lang w:val="pt-PT"/>
    </w:rPr>
  </w:style>
  <w:style w:type="table" w:styleId="Tabelacomgrade">
    <w:name w:val="Table Grid"/>
    <w:basedOn w:val="Tabelanormal"/>
    <w:uiPriority w:val="59"/>
    <w:rsid w:val="00FC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8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14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12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36F"/>
  </w:style>
  <w:style w:type="paragraph" w:styleId="Rodap">
    <w:name w:val="footer"/>
    <w:basedOn w:val="Normal"/>
    <w:link w:val="RodapChar"/>
    <w:uiPriority w:val="99"/>
    <w:semiHidden/>
    <w:unhideWhenUsed/>
    <w:rsid w:val="00612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236F"/>
  </w:style>
  <w:style w:type="character" w:styleId="Hyperlink">
    <w:name w:val="Hyperlink"/>
    <w:basedOn w:val="Fontepargpadro"/>
    <w:uiPriority w:val="99"/>
    <w:unhideWhenUsed/>
    <w:rsid w:val="007E68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orp.usp.br/restaurador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Planilha_do_Microsoft_Office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Planilha_do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Planilha_do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9.6108954166971947E-2"/>
          <c:y val="7.8385664057433704E-2"/>
          <c:w val="0.57123806558738055"/>
          <c:h val="0.73866070270516604"/>
        </c:manualLayout>
      </c:layout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Face vestibular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Val val="1"/>
          </c:dLbls>
          <c:trendline>
            <c:spPr>
              <a:ln w="38100">
                <a:solidFill>
                  <a:srgbClr val="FF0000"/>
                </a:solidFill>
                <a:prstDash val="sysDot"/>
              </a:ln>
            </c:spPr>
            <c:trendlineType val="linear"/>
          </c:trendline>
          <c:cat>
            <c:numRef>
              <c:f>Plan1!$A$2:$A$4</c:f>
              <c:numCache>
                <c:formatCode>General</c:formatCode>
                <c:ptCount val="3"/>
                <c:pt idx="0">
                  <c:v>23</c:v>
                </c:pt>
                <c:pt idx="1">
                  <c:v>24</c:v>
                </c:pt>
                <c:pt idx="2">
                  <c:v>26</c:v>
                </c:pt>
              </c:numCache>
            </c:numRef>
          </c:cat>
          <c:val>
            <c:numRef>
              <c:f>Plan1!$B$2:$B$4</c:f>
              <c:numCache>
                <c:formatCode>General</c:formatCode>
                <c:ptCount val="3"/>
                <c:pt idx="0">
                  <c:v>28</c:v>
                </c:pt>
                <c:pt idx="1">
                  <c:v>20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Face lingual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Val val="1"/>
          </c:dLbls>
          <c:cat>
            <c:numRef>
              <c:f>Plan1!$A$2:$A$4</c:f>
              <c:numCache>
                <c:formatCode>General</c:formatCode>
                <c:ptCount val="3"/>
                <c:pt idx="0">
                  <c:v>23</c:v>
                </c:pt>
                <c:pt idx="1">
                  <c:v>24</c:v>
                </c:pt>
                <c:pt idx="2">
                  <c:v>26</c:v>
                </c:pt>
              </c:numCache>
            </c:numRef>
          </c:cat>
          <c:val>
            <c:numRef>
              <c:f>Plan1!$C$2:$C$4</c:f>
              <c:numCache>
                <c:formatCode>General</c:formatCode>
                <c:ptCount val="3"/>
                <c:pt idx="0">
                  <c:v>28</c:v>
                </c:pt>
                <c:pt idx="1">
                  <c:v>10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Face proximal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Val val="1"/>
          </c:dLbls>
          <c:cat>
            <c:numRef>
              <c:f>Plan1!$A$2:$A$4</c:f>
              <c:numCache>
                <c:formatCode>General</c:formatCode>
                <c:ptCount val="3"/>
                <c:pt idx="0">
                  <c:v>23</c:v>
                </c:pt>
                <c:pt idx="1">
                  <c:v>24</c:v>
                </c:pt>
                <c:pt idx="2">
                  <c:v>26</c:v>
                </c:pt>
              </c:numCache>
            </c:numRef>
          </c:cat>
          <c:val>
            <c:numRef>
              <c:f>Plan1!$D$2:$D$4</c:f>
              <c:numCache>
                <c:formatCode>General</c:formatCode>
                <c:ptCount val="3"/>
                <c:pt idx="0">
                  <c:v>26</c:v>
                </c:pt>
                <c:pt idx="1">
                  <c:v>17</c:v>
                </c:pt>
                <c:pt idx="2">
                  <c:v>14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Face oclusal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Val val="1"/>
          </c:dLbls>
          <c:cat>
            <c:numRef>
              <c:f>Plan1!$A$2:$A$4</c:f>
              <c:numCache>
                <c:formatCode>General</c:formatCode>
                <c:ptCount val="3"/>
                <c:pt idx="0">
                  <c:v>23</c:v>
                </c:pt>
                <c:pt idx="1">
                  <c:v>24</c:v>
                </c:pt>
                <c:pt idx="2">
                  <c:v>26</c:v>
                </c:pt>
              </c:numCache>
            </c:numRef>
          </c:cat>
          <c:val>
            <c:numRef>
              <c:f>Plan1!$E$2:$E$4</c:f>
              <c:numCache>
                <c:formatCode>General</c:formatCode>
                <c:ptCount val="3"/>
                <c:pt idx="0">
                  <c:v>0</c:v>
                </c:pt>
                <c:pt idx="1">
                  <c:v>17</c:v>
                </c:pt>
                <c:pt idx="2">
                  <c:v>13</c:v>
                </c:pt>
              </c:numCache>
            </c:numRef>
          </c:val>
        </c:ser>
        <c:axId val="75964800"/>
        <c:axId val="75966336"/>
      </c:barChart>
      <c:catAx>
        <c:axId val="759648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pt-BR"/>
          </a:p>
        </c:txPr>
        <c:crossAx val="75966336"/>
        <c:crosses val="autoZero"/>
        <c:auto val="1"/>
        <c:lblAlgn val="ctr"/>
        <c:lblOffset val="100"/>
      </c:catAx>
      <c:valAx>
        <c:axId val="759663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pt-BR"/>
          </a:p>
        </c:txPr>
        <c:crossAx val="7596480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</c:legendEntry>
      <c:legendEntry>
        <c:idx val="2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</c:legendEntry>
      <c:legendEntry>
        <c:idx val="3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</c:legendEntry>
      <c:legendEntry>
        <c:idx val="4"/>
        <c:delete val="1"/>
      </c:legendEntry>
      <c:layout>
        <c:manualLayout>
          <c:xMode val="edge"/>
          <c:yMode val="edge"/>
          <c:x val="0.63633586062071279"/>
          <c:y val="6.6210188578900209E-2"/>
          <c:w val="0.34040577002905853"/>
          <c:h val="0.8675796228422000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</c:chart>
  <c:txPr>
    <a:bodyPr/>
    <a:lstStyle/>
    <a:p>
      <a:pPr>
        <a:defRPr sz="1800"/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9.3165277858733644E-2"/>
          <c:y val="7.5313797465370133E-2"/>
          <c:w val="0.57266158484174956"/>
          <c:h val="0.74890236444531699"/>
        </c:manualLayout>
      </c:layout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Face vestibular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Val val="1"/>
          </c:dLbls>
          <c:cat>
            <c:numRef>
              <c:f>Plan1!$A$2:$A$4</c:f>
              <c:numCache>
                <c:formatCode>General</c:formatCode>
                <c:ptCount val="3"/>
                <c:pt idx="0">
                  <c:v>21</c:v>
                </c:pt>
                <c:pt idx="1">
                  <c:v>24</c:v>
                </c:pt>
                <c:pt idx="2">
                  <c:v>36</c:v>
                </c:pt>
              </c:numCache>
            </c:numRef>
          </c:cat>
          <c:val>
            <c:numRef>
              <c:f>Plan1!$B$2:$B$4</c:f>
              <c:numCache>
                <c:formatCode>General</c:formatCode>
                <c:ptCount val="3"/>
                <c:pt idx="0">
                  <c:v>15</c:v>
                </c:pt>
                <c:pt idx="1">
                  <c:v>16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Face lingual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Val val="1"/>
          </c:dLbls>
          <c:cat>
            <c:numRef>
              <c:f>Plan1!$A$2:$A$4</c:f>
              <c:numCache>
                <c:formatCode>General</c:formatCode>
                <c:ptCount val="3"/>
                <c:pt idx="0">
                  <c:v>21</c:v>
                </c:pt>
                <c:pt idx="1">
                  <c:v>24</c:v>
                </c:pt>
                <c:pt idx="2">
                  <c:v>36</c:v>
                </c:pt>
              </c:numCache>
            </c:numRef>
          </c:cat>
          <c:val>
            <c:numRef>
              <c:f>Plan1!$C$2:$C$4</c:f>
              <c:numCache>
                <c:formatCode>General</c:formatCode>
                <c:ptCount val="3"/>
                <c:pt idx="0">
                  <c:v>16</c:v>
                </c:pt>
                <c:pt idx="1">
                  <c:v>13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Face proximal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Val val="1"/>
          </c:dLbls>
          <c:cat>
            <c:numRef>
              <c:f>Plan1!$A$2:$A$4</c:f>
              <c:numCache>
                <c:formatCode>General</c:formatCode>
                <c:ptCount val="3"/>
                <c:pt idx="0">
                  <c:v>21</c:v>
                </c:pt>
                <c:pt idx="1">
                  <c:v>24</c:v>
                </c:pt>
                <c:pt idx="2">
                  <c:v>36</c:v>
                </c:pt>
              </c:numCache>
            </c:numRef>
          </c:cat>
          <c:val>
            <c:numRef>
              <c:f>Plan1!$D$2:$D$4</c:f>
              <c:numCache>
                <c:formatCode>General</c:formatCode>
                <c:ptCount val="3"/>
                <c:pt idx="0">
                  <c:v>16</c:v>
                </c:pt>
                <c:pt idx="1">
                  <c:v>13</c:v>
                </c:pt>
                <c:pt idx="2">
                  <c:v>13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Face oclusal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Val val="1"/>
          </c:dLbls>
          <c:cat>
            <c:numRef>
              <c:f>Plan1!$A$2:$A$4</c:f>
              <c:numCache>
                <c:formatCode>General</c:formatCode>
                <c:ptCount val="3"/>
                <c:pt idx="0">
                  <c:v>21</c:v>
                </c:pt>
                <c:pt idx="1">
                  <c:v>24</c:v>
                </c:pt>
                <c:pt idx="2">
                  <c:v>36</c:v>
                </c:pt>
              </c:numCache>
            </c:numRef>
          </c:cat>
          <c:val>
            <c:numRef>
              <c:f>Plan1!$E$2:$E$4</c:f>
              <c:numCache>
                <c:formatCode>General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13</c:v>
                </c:pt>
              </c:numCache>
            </c:numRef>
          </c:val>
        </c:ser>
        <c:axId val="92066176"/>
        <c:axId val="101974016"/>
      </c:barChart>
      <c:catAx>
        <c:axId val="920661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pt-BR"/>
          </a:p>
        </c:txPr>
        <c:crossAx val="101974016"/>
        <c:crosses val="autoZero"/>
        <c:auto val="1"/>
        <c:lblAlgn val="ctr"/>
        <c:lblOffset val="100"/>
      </c:catAx>
      <c:valAx>
        <c:axId val="1019740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pt-BR"/>
          </a:p>
        </c:txPr>
        <c:crossAx val="9206617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</c:legendEntry>
      <c:legendEntry>
        <c:idx val="2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</c:legendEntry>
      <c:legendEntry>
        <c:idx val="3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</c:legendEntry>
      <c:layout>
        <c:manualLayout>
          <c:xMode val="edge"/>
          <c:yMode val="edge"/>
          <c:x val="0.66466849539774664"/>
          <c:y val="0.11380959048390273"/>
          <c:w val="0.33108179079146904"/>
          <c:h val="0.7593733754295221"/>
        </c:manualLayout>
      </c:layout>
      <c:txPr>
        <a:bodyPr/>
        <a:lstStyle/>
        <a:p>
          <a:pPr>
            <a:defRPr sz="1200"/>
          </a:pPr>
          <a:endParaRPr lang="pt-BR"/>
        </a:p>
      </c:txPr>
    </c:legend>
    <c:plotVisOnly val="1"/>
    <c:dispBlanksAs val="gap"/>
  </c:chart>
  <c:txPr>
    <a:bodyPr/>
    <a:lstStyle/>
    <a:p>
      <a:pPr algn="just">
        <a:defRPr sz="1800"/>
      </a:pPr>
      <a:endParaRPr lang="pt-B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en-US" sz="1100">
                <a:latin typeface="Times New Roman" pitchFamily="18" charset="0"/>
                <a:cs typeface="Times New Roman" pitchFamily="18" charset="0"/>
              </a:rPr>
              <a:t>Elemento 23 - </a:t>
            </a:r>
            <a:r>
              <a:rPr lang="en-US" sz="1100" baseline="0">
                <a:latin typeface="Times New Roman" pitchFamily="18" charset="0"/>
                <a:cs typeface="Times New Roman" pitchFamily="18" charset="0"/>
              </a:rPr>
              <a:t> Diâmetros</a:t>
            </a:r>
            <a:endParaRPr lang="en-US" sz="11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Diâmetros</c:v>
                </c:pt>
              </c:strCache>
            </c:strRef>
          </c:tx>
          <c:dPt>
            <c:idx val="0"/>
            <c:explosion val="2"/>
          </c:dPt>
          <c:dPt>
            <c:idx val="1"/>
            <c:explosion val="2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25,5%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74,5%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Val val="1"/>
            <c:showLeaderLines val="1"/>
          </c:dLbls>
          <c:cat>
            <c:strRef>
              <c:f>Plan1!$A$2:$A$3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Plan1!$B$2:$B$3</c:f>
              <c:numCache>
                <c:formatCode>0%</c:formatCode>
                <c:ptCount val="2"/>
                <c:pt idx="0">
                  <c:v>0.255</c:v>
                </c:pt>
                <c:pt idx="1">
                  <c:v>0.74500000000000188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zero"/>
  </c:chart>
  <c:txPr>
    <a:bodyPr/>
    <a:lstStyle/>
    <a:p>
      <a:pPr>
        <a:defRPr sz="1800"/>
      </a:pPr>
      <a:endParaRPr lang="pt-B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Elemento 24 - Diâmetros</c:v>
                </c:pt>
              </c:strCache>
            </c:strRef>
          </c:tx>
          <c:dPt>
            <c:idx val="0"/>
            <c:explosion val="7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 smtClean="0">
                        <a:latin typeface="Times New Roman" pitchFamily="18" charset="0"/>
                        <a:cs typeface="Times New Roman" pitchFamily="18" charset="0"/>
                      </a:rPr>
                      <a:t>20,8%</a:t>
                    </a:r>
                    <a:endParaRPr lang="en-US" dirty="0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 smtClean="0">
                        <a:latin typeface="Times New Roman" pitchFamily="18" charset="0"/>
                        <a:cs typeface="Times New Roman" pitchFamily="18" charset="0"/>
                      </a:rPr>
                      <a:t>79,2%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Val val="1"/>
            <c:showLeaderLines val="1"/>
          </c:dLbls>
          <c:cat>
            <c:strRef>
              <c:f>Plan1!$A$2:$A$3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Plan1!$B$2:$B$3</c:f>
              <c:numCache>
                <c:formatCode>0%</c:formatCode>
                <c:ptCount val="2"/>
                <c:pt idx="0">
                  <c:v>0.20800000000000021</c:v>
                </c:pt>
                <c:pt idx="1">
                  <c:v>0.79200000000000004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zero"/>
  </c:chart>
  <c:txPr>
    <a:bodyPr/>
    <a:lstStyle/>
    <a:p>
      <a:pPr>
        <a:defRPr sz="1800"/>
      </a:pPr>
      <a:endParaRPr lang="pt-B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en-US" sz="1100">
                <a:latin typeface="Times New Roman" pitchFamily="18" charset="0"/>
                <a:cs typeface="Times New Roman" pitchFamily="18" charset="0"/>
              </a:rPr>
              <a:t>Elemento 26 - Diâmetros</a:t>
            </a:r>
          </a:p>
        </c:rich>
      </c:tx>
      <c:layout>
        <c:manualLayout>
          <c:xMode val="edge"/>
          <c:yMode val="edge"/>
          <c:x val="0.24791052114060971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Elemento 26 - Diâmetros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 smtClean="0">
                        <a:latin typeface="Times New Roman" pitchFamily="18" charset="0"/>
                        <a:cs typeface="Times New Roman" pitchFamily="18" charset="0"/>
                      </a:rPr>
                      <a:t>22,2%</a:t>
                    </a:r>
                    <a:endParaRPr lang="en-US" dirty="0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 smtClean="0">
                        <a:latin typeface="Times New Roman" pitchFamily="18" charset="0"/>
                        <a:cs typeface="Times New Roman" pitchFamily="18" charset="0"/>
                      </a:rPr>
                      <a:t>77,8%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Val val="1"/>
            <c:showLeaderLines val="1"/>
          </c:dLbls>
          <c:cat>
            <c:strRef>
              <c:f>Plan1!$A$2:$A$3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Plan1!$B$2:$B$3</c:f>
              <c:numCache>
                <c:formatCode>0%</c:formatCode>
                <c:ptCount val="2"/>
                <c:pt idx="0">
                  <c:v>0.22220000000000001</c:v>
                </c:pt>
                <c:pt idx="1">
                  <c:v>0.77780000000000316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zero"/>
  </c:chart>
  <c:txPr>
    <a:bodyPr/>
    <a:lstStyle/>
    <a:p>
      <a:pPr>
        <a:defRPr sz="1800"/>
      </a:pPr>
      <a:endParaRPr lang="pt-B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en-US" sz="1100"/>
              <a:t>Elemento</a:t>
            </a:r>
            <a:r>
              <a:rPr lang="en-US" sz="1100" baseline="0"/>
              <a:t> 21 - Diâmetros</a:t>
            </a:r>
            <a:r>
              <a:rPr lang="en-US" sz="1100"/>
              <a:t> 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7083333333333452E-2"/>
          <c:y val="0.14489074803149718"/>
          <c:w val="0.8260260826771656"/>
          <c:h val="0.82073425196850791"/>
        </c:manualLayout>
      </c:layout>
      <c:pie3DChart>
        <c:varyColors val="1"/>
        <c:ser>
          <c:idx val="0"/>
          <c:order val="0"/>
          <c:tx>
            <c:strRef>
              <c:f>'Plan1'!$B$1</c:f>
              <c:strCache>
                <c:ptCount val="1"/>
                <c:pt idx="0">
                  <c:v>Diâmetros do elemento 23 </c:v>
                </c:pt>
              </c:strCache>
            </c:strRef>
          </c:tx>
          <c:explosion val="8"/>
          <c:dPt>
            <c:idx val="0"/>
            <c:explosion val="0"/>
          </c:dPt>
          <c:cat>
            <c:strRef>
              <c:f>'Plan1'!$A$2:$A$3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'Plan1'!$B$2:$B$3</c:f>
              <c:numCache>
                <c:formatCode>0.00%</c:formatCode>
                <c:ptCount val="2"/>
                <c:pt idx="0">
                  <c:v>0.33330000000000276</c:v>
                </c:pt>
                <c:pt idx="1">
                  <c:v>0.66660000000000552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2479923955143553"/>
          <c:y val="0.38616504359075232"/>
          <c:w val="0.16961748281166442"/>
          <c:h val="0.2764314760776451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zero"/>
  </c:chart>
  <c:txPr>
    <a:bodyPr/>
    <a:lstStyle/>
    <a:p>
      <a:pPr>
        <a:defRPr sz="1800"/>
      </a:pPr>
      <a:endParaRPr lang="pt-BR"/>
    </a:p>
  </c:txPr>
  <c:externalData r:id="rId2"/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en-US" sz="1100"/>
              <a:t>Elemento 24 - Diâmetros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7083333333333452E-2"/>
          <c:y val="0.14489074803149746"/>
          <c:w val="0.8260260826771656"/>
          <c:h val="0.8207342519685088"/>
        </c:manualLayout>
      </c:layout>
      <c:pie3DChart>
        <c:varyColors val="1"/>
        <c:ser>
          <c:idx val="0"/>
          <c:order val="0"/>
          <c:tx>
            <c:strRef>
              <c:f>'Plan1'!$B$1</c:f>
              <c:strCache>
                <c:ptCount val="1"/>
                <c:pt idx="0">
                  <c:v>Diâmetros do elemento 24</c:v>
                </c:pt>
              </c:strCache>
            </c:strRef>
          </c:tx>
          <c:explosion val="8"/>
          <c:dPt>
            <c:idx val="0"/>
            <c:explosion val="0"/>
          </c:dPt>
          <c:cat>
            <c:strRef>
              <c:f>'Plan1'!$A$2:$A$3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'Plan1'!$B$2:$B$3</c:f>
              <c:numCache>
                <c:formatCode>0.00%</c:formatCode>
                <c:ptCount val="2"/>
                <c:pt idx="0">
                  <c:v>0.19040000000000001</c:v>
                </c:pt>
                <c:pt idx="1">
                  <c:v>0.8095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8744739339375169"/>
          <c:y val="0.34530998661287027"/>
          <c:w val="0.18246066030892041"/>
          <c:h val="0.4102944817091429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zero"/>
  </c:chart>
  <c:txPr>
    <a:bodyPr/>
    <a:lstStyle/>
    <a:p>
      <a:pPr>
        <a:defRPr sz="1800"/>
      </a:pPr>
      <a:endParaRPr lang="pt-BR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en-US" sz="1100"/>
              <a:t>Elemento 36 - Diâmetros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7083333333333452E-2"/>
          <c:y val="0.14489074803149729"/>
          <c:w val="0.8260260826771656"/>
          <c:h val="0.82073425196850824"/>
        </c:manualLayout>
      </c:layout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Diâmetros do elemento 36</c:v>
                </c:pt>
              </c:strCache>
            </c:strRef>
          </c:tx>
          <c:explosion val="8"/>
          <c:dPt>
            <c:idx val="0"/>
            <c:explosion val="0"/>
          </c:dPt>
          <c:cat>
            <c:strRef>
              <c:f>Plan1!$A$2:$A$3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Plan1!$B$2:$B$3</c:f>
              <c:numCache>
                <c:formatCode>0.00%</c:formatCode>
                <c:ptCount val="2"/>
                <c:pt idx="0">
                  <c:v>0.14810000000000001</c:v>
                </c:pt>
                <c:pt idx="1">
                  <c:v>0.8095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</c:legendEntry>
      <c:legendEntry>
        <c:idx val="1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</c:legendEntry>
      <c:layout>
        <c:manualLayout>
          <c:xMode val="edge"/>
          <c:yMode val="edge"/>
          <c:x val="0.82334566490584482"/>
          <c:y val="0.42726338903088967"/>
          <c:w val="0.17665433509415521"/>
          <c:h val="0.3506922058425823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zero"/>
  </c:chart>
  <c:txPr>
    <a:bodyPr/>
    <a:lstStyle/>
    <a:p>
      <a:pPr>
        <a:defRPr sz="1800"/>
      </a:pPr>
      <a:endParaRPr lang="pt-B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0.53544</cdr:x>
      <cdr:y>0.25194</cdr:y>
    </cdr:from>
    <cdr:to>
      <cdr:x>0.68544</cdr:x>
      <cdr:y>0.47694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3264024" y="102388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t-BR" sz="1200" dirty="0" smtClean="0">
              <a:latin typeface="Times New Roman" pitchFamily="18" charset="0"/>
              <a:cs typeface="Times New Roman" pitchFamily="18" charset="0"/>
            </a:rPr>
            <a:t>33,33%</a:t>
          </a:r>
          <a:endParaRPr lang="pt-BR" sz="12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0.15744</cdr:x>
      <cdr:y>0.5</cdr:y>
    </cdr:from>
    <cdr:to>
      <cdr:x>0.30744</cdr:x>
      <cdr:y>0.725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959768" y="2032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t-BR" sz="1200" dirty="0" smtClean="0">
              <a:latin typeface="Times New Roman" pitchFamily="18" charset="0"/>
              <a:cs typeface="Times New Roman" pitchFamily="18" charset="0"/>
            </a:rPr>
            <a:t>66,66%</a:t>
          </a:r>
          <a:endParaRPr lang="pt-BR" sz="1200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0.53544</cdr:x>
      <cdr:y>0.25194</cdr:y>
    </cdr:from>
    <cdr:to>
      <cdr:x>0.68544</cdr:x>
      <cdr:y>0.47694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3264024" y="102388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t-BR" sz="1200" dirty="0" smtClean="0">
              <a:latin typeface="Times New Roman" pitchFamily="18" charset="0"/>
              <a:cs typeface="Times New Roman" pitchFamily="18" charset="0"/>
            </a:rPr>
            <a:t>19,04%</a:t>
          </a:r>
          <a:endParaRPr lang="pt-BR" sz="12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0.15744</cdr:x>
      <cdr:y>0.5</cdr:y>
    </cdr:from>
    <cdr:to>
      <cdr:x>0.30744</cdr:x>
      <cdr:y>0.725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959768" y="2032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t-BR" sz="1200" dirty="0" smtClean="0">
              <a:latin typeface="Times New Roman" pitchFamily="18" charset="0"/>
              <a:cs typeface="Times New Roman" pitchFamily="18" charset="0"/>
            </a:rPr>
            <a:t>80,95%</a:t>
          </a:r>
          <a:endParaRPr lang="pt-BR" sz="1200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0.53544</cdr:x>
      <cdr:y>0.25194</cdr:y>
    </cdr:from>
    <cdr:to>
      <cdr:x>0.68544</cdr:x>
      <cdr:y>0.47694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3264024" y="102388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t-BR" sz="1200" dirty="0" smtClean="0">
              <a:latin typeface="Times New Roman" pitchFamily="18" charset="0"/>
              <a:cs typeface="Times New Roman" pitchFamily="18" charset="0"/>
            </a:rPr>
            <a:t>14,81%</a:t>
          </a:r>
          <a:endParaRPr lang="pt-BR" sz="12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0.15744</cdr:x>
      <cdr:y>0.5</cdr:y>
    </cdr:from>
    <cdr:to>
      <cdr:x>0.30744</cdr:x>
      <cdr:y>0.725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959768" y="2032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t-BR" sz="1200" dirty="0" smtClean="0">
              <a:latin typeface="Times New Roman" pitchFamily="18" charset="0"/>
              <a:cs typeface="Times New Roman" pitchFamily="18" charset="0"/>
            </a:rPr>
            <a:t>84,18%</a:t>
          </a:r>
          <a:endParaRPr lang="pt-BR" sz="1200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69CA5-661D-4D35-BC57-681559BC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1243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Duuuda</dc:creator>
  <cp:lastModifiedBy>USER</cp:lastModifiedBy>
  <cp:revision>8</cp:revision>
  <dcterms:created xsi:type="dcterms:W3CDTF">2013-10-21T00:31:00Z</dcterms:created>
  <dcterms:modified xsi:type="dcterms:W3CDTF">2013-10-30T00:23:00Z</dcterms:modified>
</cp:coreProperties>
</file>